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83F2" w14:textId="6D8333E7" w:rsidR="00416053" w:rsidRPr="00F97B2D" w:rsidRDefault="00637CE5" w:rsidP="00F97B2D">
      <w:pPr>
        <w:pStyle w:val="Default"/>
        <w:pBdr>
          <w:left w:val="none" w:sz="0" w:space="0" w:color="auto"/>
          <w:right w:val="none" w:sz="0" w:space="0" w:color="auto"/>
        </w:pBdr>
        <w:spacing w:after="160" w:line="259" w:lineRule="auto"/>
        <w:jc w:val="center"/>
        <w:rPr>
          <w:sz w:val="66"/>
          <w:szCs w:val="66"/>
        </w:rPr>
      </w:pPr>
      <w:r>
        <w:rPr>
          <w:rFonts w:ascii="Times New Roman" w:hAnsi="Times New Roman" w:cs="Times New Roman"/>
          <w:b/>
          <w:bCs/>
          <w:position w:val="7"/>
          <w:sz w:val="72"/>
          <w:szCs w:val="72"/>
          <w:vertAlign w:val="subscript"/>
        </w:rPr>
        <w:t>William Todd Penberthy, Ph. D.</w:t>
      </w:r>
    </w:p>
    <w:p w14:paraId="3F082A57" w14:textId="13AAD3CC" w:rsidR="00D0690E" w:rsidRPr="003D61D1" w:rsidRDefault="00005ED8">
      <w:pPr>
        <w:pStyle w:val="Default"/>
        <w:pBdr>
          <w:left w:val="none" w:sz="0" w:space="0" w:color="auto"/>
          <w:right w:val="none" w:sz="0" w:space="0" w:color="auto"/>
        </w:pBdr>
        <w:spacing w:after="160" w:line="259" w:lineRule="auto"/>
        <w:jc w:val="center"/>
        <w:rPr>
          <w:rStyle w:val="Hyperlink"/>
          <w:rFonts w:ascii="Times New Roman" w:hAnsi="Times New Roman" w:cs="Times New Roman"/>
          <w:b/>
          <w:bCs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+1</w:t>
      </w:r>
      <w:r w:rsidR="00FD549F" w:rsidRPr="003D61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7CE5" w:rsidRPr="003D61D1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AC3DFE" w:rsidRPr="003D61D1">
        <w:rPr>
          <w:rFonts w:ascii="Times New Roman" w:hAnsi="Times New Roman" w:cs="Times New Roman"/>
          <w:b/>
          <w:bCs/>
          <w:sz w:val="26"/>
          <w:szCs w:val="26"/>
        </w:rPr>
        <w:t>689) 247-</w:t>
      </w:r>
      <w:r w:rsidR="00EC11D4" w:rsidRPr="003D61D1">
        <w:rPr>
          <w:rFonts w:ascii="Times New Roman" w:hAnsi="Times New Roman" w:cs="Times New Roman"/>
          <w:b/>
          <w:bCs/>
          <w:sz w:val="26"/>
          <w:szCs w:val="26"/>
        </w:rPr>
        <w:t>0254 •</w:t>
      </w:r>
      <w:r w:rsidR="00416053" w:rsidRPr="003D61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8" w:history="1">
        <w:r w:rsidR="00416053" w:rsidRPr="003D61D1">
          <w:rPr>
            <w:rStyle w:val="Hyperlink"/>
            <w:rFonts w:ascii="Times New Roman" w:hAnsi="Times New Roman" w:cs="Times New Roman"/>
            <w:b/>
            <w:bCs/>
            <w:sz w:val="26"/>
            <w:szCs w:val="26"/>
            <w:lang w:val="de-DE"/>
          </w:rPr>
          <w:t>WTPENBER@GMAIL.COM</w:t>
        </w:r>
      </w:hyperlink>
      <w:r w:rsidR="00637CE5" w:rsidRPr="003D61D1">
        <w:rPr>
          <w:rFonts w:ascii="Times New Roman" w:hAnsi="Times New Roman" w:cs="Times New Roman"/>
          <w:b/>
          <w:bCs/>
          <w:sz w:val="26"/>
          <w:szCs w:val="26"/>
        </w:rPr>
        <w:t xml:space="preserve"> •</w:t>
      </w:r>
      <w:r w:rsidR="00416053" w:rsidRPr="003D61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9" w:history="1">
        <w:r w:rsidR="00416053" w:rsidRPr="003D61D1">
          <w:rPr>
            <w:rStyle w:val="Hyperlink"/>
            <w:rFonts w:ascii="Times New Roman" w:hAnsi="Times New Roman" w:cs="Times New Roman"/>
            <w:b/>
            <w:bCs/>
            <w:sz w:val="26"/>
            <w:szCs w:val="26"/>
            <w:lang w:val="pt-PT"/>
          </w:rPr>
          <w:t>WWW.CMESCRIBE.COM</w:t>
        </w:r>
      </w:hyperlink>
    </w:p>
    <w:p w14:paraId="5B6FEDD7" w14:textId="64D6DCF3" w:rsidR="00725468" w:rsidRPr="003D61D1" w:rsidRDefault="00725468" w:rsidP="00725468">
      <w:pPr>
        <w:pStyle w:val="Default"/>
        <w:pBdr>
          <w:left w:val="none" w:sz="0" w:space="0" w:color="auto"/>
          <w:right w:val="none" w:sz="0" w:space="0" w:color="auto"/>
        </w:pBdr>
        <w:spacing w:after="160" w:line="259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3D61D1">
        <w:rPr>
          <w:rFonts w:ascii="Times New Roman" w:hAnsi="Times New Roman" w:cs="Times New Roman"/>
          <w:sz w:val="26"/>
          <w:szCs w:val="26"/>
        </w:rPr>
        <w:t xml:space="preserve">     Winter Park, Florida</w:t>
      </w:r>
      <w:r w:rsidR="00022BCB" w:rsidRPr="003D61D1">
        <w:rPr>
          <w:rFonts w:ascii="Times New Roman" w:hAnsi="Times New Roman" w:cs="Times New Roman"/>
          <w:sz w:val="26"/>
          <w:szCs w:val="26"/>
        </w:rPr>
        <w:t>, USA</w:t>
      </w:r>
    </w:p>
    <w:p w14:paraId="3A703FCA" w14:textId="0D5C7A48" w:rsidR="00416053" w:rsidRPr="003D61D1" w:rsidRDefault="00251EA3">
      <w:pPr>
        <w:pStyle w:val="Default"/>
        <w:pBdr>
          <w:left w:val="none" w:sz="0" w:space="0" w:color="auto"/>
          <w:right w:val="none" w:sz="0" w:space="0" w:color="auto"/>
        </w:pBd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3DF0C64" w14:textId="77777777" w:rsidR="00D0690E" w:rsidRPr="003D61D1" w:rsidRDefault="00637CE5">
      <w:pPr>
        <w:pStyle w:val="Default"/>
        <w:pBdr>
          <w:left w:val="none" w:sz="0" w:space="0" w:color="auto"/>
          <w:right w:val="none" w:sz="0" w:space="0" w:color="auto"/>
        </w:pBd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3D61D1">
        <w:rPr>
          <w:rFonts w:ascii="Times New Roman" w:hAnsi="Times New Roman" w:cs="Times New Roman"/>
          <w:b/>
          <w:bCs/>
          <w:sz w:val="26"/>
          <w:szCs w:val="26"/>
        </w:rPr>
        <w:t>SUMMARY</w:t>
      </w:r>
    </w:p>
    <w:p w14:paraId="2B2163FB" w14:textId="1A97263C" w:rsidR="001B171B" w:rsidRPr="003F68DE" w:rsidRDefault="00644714" w:rsidP="00746360">
      <w:pPr>
        <w:pStyle w:val="Default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644714">
        <w:rPr>
          <w:rFonts w:ascii="Times New Roman" w:hAnsi="Times New Roman" w:cs="Times New Roman"/>
          <w:sz w:val="24"/>
          <w:szCs w:val="24"/>
        </w:rPr>
        <w:t xml:space="preserve">With </w:t>
      </w:r>
      <w:r w:rsidR="00C26AE9">
        <w:rPr>
          <w:rFonts w:ascii="Times New Roman" w:hAnsi="Times New Roman" w:cs="Times New Roman"/>
          <w:sz w:val="24"/>
          <w:szCs w:val="24"/>
        </w:rPr>
        <w:t xml:space="preserve">over 10 years of CME writing, </w:t>
      </w:r>
      <w:r w:rsidRPr="00644714">
        <w:rPr>
          <w:rFonts w:ascii="Times New Roman" w:hAnsi="Times New Roman" w:cs="Times New Roman"/>
          <w:sz w:val="24"/>
          <w:szCs w:val="24"/>
        </w:rPr>
        <w:t xml:space="preserve">a </w:t>
      </w:r>
      <w:r w:rsidR="00685403">
        <w:rPr>
          <w:rFonts w:ascii="Times New Roman" w:hAnsi="Times New Roman" w:cs="Times New Roman"/>
          <w:sz w:val="24"/>
          <w:szCs w:val="24"/>
        </w:rPr>
        <w:t xml:space="preserve">doctorate </w:t>
      </w:r>
      <w:r w:rsidRPr="00644714">
        <w:rPr>
          <w:rFonts w:ascii="Times New Roman" w:hAnsi="Times New Roman" w:cs="Times New Roman"/>
          <w:sz w:val="24"/>
          <w:szCs w:val="24"/>
        </w:rPr>
        <w:t>in biochemistry</w:t>
      </w:r>
      <w:r w:rsidR="00E875EC">
        <w:rPr>
          <w:rFonts w:ascii="Times New Roman" w:hAnsi="Times New Roman" w:cs="Times New Roman"/>
          <w:sz w:val="24"/>
          <w:szCs w:val="24"/>
        </w:rPr>
        <w:t xml:space="preserve"> with</w:t>
      </w:r>
      <w:r w:rsidRPr="00644714">
        <w:rPr>
          <w:rFonts w:ascii="Times New Roman" w:hAnsi="Times New Roman" w:cs="Times New Roman"/>
          <w:sz w:val="24"/>
          <w:szCs w:val="24"/>
        </w:rPr>
        <w:t xml:space="preserve"> training in developmental biology, and experience directing a drug discovery laboratory with a fortune 500 company before switching to </w:t>
      </w:r>
      <w:r w:rsidR="0071389A">
        <w:rPr>
          <w:rFonts w:ascii="Times New Roman" w:hAnsi="Times New Roman" w:cs="Times New Roman"/>
          <w:sz w:val="24"/>
          <w:szCs w:val="24"/>
        </w:rPr>
        <w:t>writing</w:t>
      </w:r>
      <w:r w:rsidRPr="00644714">
        <w:rPr>
          <w:rFonts w:ascii="Times New Roman" w:hAnsi="Times New Roman" w:cs="Times New Roman"/>
          <w:sz w:val="24"/>
          <w:szCs w:val="24"/>
        </w:rPr>
        <w:t xml:space="preserve">, </w:t>
      </w:r>
      <w:r w:rsidR="00746360">
        <w:rPr>
          <w:rFonts w:ascii="Times New Roman" w:hAnsi="Times New Roman" w:cs="Times New Roman"/>
          <w:sz w:val="24"/>
          <w:szCs w:val="24"/>
        </w:rPr>
        <w:t>m</w:t>
      </w:r>
      <w:r w:rsidR="00B1495C" w:rsidRPr="003F68DE">
        <w:rPr>
          <w:rFonts w:ascii="Times New Roman" w:hAnsi="Times New Roman" w:cs="Times New Roman"/>
          <w:sz w:val="24"/>
          <w:szCs w:val="24"/>
        </w:rPr>
        <w:t>y scientific experience</w:t>
      </w:r>
      <w:r w:rsidR="001B171B" w:rsidRPr="003F68DE">
        <w:rPr>
          <w:rFonts w:ascii="Times New Roman" w:hAnsi="Times New Roman" w:cs="Times New Roman"/>
          <w:sz w:val="24"/>
          <w:szCs w:val="24"/>
        </w:rPr>
        <w:t xml:space="preserve"> has been invaluable to my current career, </w:t>
      </w:r>
      <w:r w:rsidR="00B7363E">
        <w:rPr>
          <w:rFonts w:ascii="Times New Roman" w:hAnsi="Times New Roman" w:cs="Times New Roman"/>
          <w:sz w:val="24"/>
          <w:szCs w:val="24"/>
        </w:rPr>
        <w:t>enablin</w:t>
      </w:r>
      <w:r w:rsidR="00373A92">
        <w:rPr>
          <w:rFonts w:ascii="Times New Roman" w:hAnsi="Times New Roman" w:cs="Times New Roman"/>
          <w:sz w:val="24"/>
          <w:szCs w:val="24"/>
        </w:rPr>
        <w:t>g</w:t>
      </w:r>
      <w:r w:rsidR="00B7363E">
        <w:rPr>
          <w:rFonts w:ascii="Times New Roman" w:hAnsi="Times New Roman" w:cs="Times New Roman"/>
          <w:sz w:val="24"/>
          <w:szCs w:val="24"/>
        </w:rPr>
        <w:t xml:space="preserve"> </w:t>
      </w:r>
      <w:r w:rsidR="00B1495C" w:rsidRPr="003F68DE">
        <w:rPr>
          <w:rFonts w:ascii="Times New Roman" w:hAnsi="Times New Roman" w:cs="Times New Roman"/>
          <w:sz w:val="24"/>
          <w:szCs w:val="24"/>
        </w:rPr>
        <w:t>me</w:t>
      </w:r>
      <w:r w:rsidR="001B171B" w:rsidRPr="003F68DE">
        <w:rPr>
          <w:rFonts w:ascii="Times New Roman" w:hAnsi="Times New Roman" w:cs="Times New Roman"/>
          <w:sz w:val="24"/>
          <w:szCs w:val="24"/>
        </w:rPr>
        <w:t xml:space="preserve"> to gain </w:t>
      </w:r>
      <w:r w:rsidR="0015079F">
        <w:rPr>
          <w:rFonts w:ascii="Times New Roman" w:hAnsi="Times New Roman" w:cs="Times New Roman"/>
          <w:sz w:val="24"/>
          <w:szCs w:val="24"/>
        </w:rPr>
        <w:t xml:space="preserve">an </w:t>
      </w:r>
      <w:r w:rsidR="001B171B" w:rsidRPr="003F68DE">
        <w:rPr>
          <w:rFonts w:ascii="Times New Roman" w:hAnsi="Times New Roman" w:cs="Times New Roman"/>
          <w:sz w:val="24"/>
          <w:szCs w:val="24"/>
        </w:rPr>
        <w:t xml:space="preserve">understanding of various therapeutic areas and effectively communicate </w:t>
      </w:r>
      <w:r w:rsidR="00FD4EDD">
        <w:rPr>
          <w:rFonts w:ascii="Times New Roman" w:hAnsi="Times New Roman" w:cs="Times New Roman"/>
          <w:sz w:val="24"/>
          <w:szCs w:val="24"/>
        </w:rPr>
        <w:t xml:space="preserve">biomedical science in </w:t>
      </w:r>
      <w:r w:rsidR="00E76A03">
        <w:rPr>
          <w:rFonts w:ascii="Times New Roman" w:hAnsi="Times New Roman" w:cs="Times New Roman"/>
          <w:sz w:val="24"/>
          <w:szCs w:val="24"/>
        </w:rPr>
        <w:t xml:space="preserve">manuscripts, </w:t>
      </w:r>
      <w:r w:rsidR="00FD4EDD">
        <w:rPr>
          <w:rFonts w:ascii="Times New Roman" w:hAnsi="Times New Roman" w:cs="Times New Roman"/>
          <w:sz w:val="24"/>
          <w:szCs w:val="24"/>
        </w:rPr>
        <w:t>CME grants/</w:t>
      </w:r>
      <w:r w:rsidR="009C3245">
        <w:rPr>
          <w:rFonts w:ascii="Times New Roman" w:hAnsi="Times New Roman" w:cs="Times New Roman"/>
          <w:sz w:val="24"/>
          <w:szCs w:val="24"/>
        </w:rPr>
        <w:t xml:space="preserve">course design, </w:t>
      </w:r>
      <w:r w:rsidR="00840F1D">
        <w:rPr>
          <w:rFonts w:ascii="Times New Roman" w:hAnsi="Times New Roman" w:cs="Times New Roman"/>
          <w:sz w:val="24"/>
          <w:szCs w:val="24"/>
        </w:rPr>
        <w:t xml:space="preserve">abstracts, </w:t>
      </w:r>
      <w:r w:rsidR="001B171B" w:rsidRPr="003F68DE">
        <w:rPr>
          <w:rFonts w:ascii="Times New Roman" w:hAnsi="Times New Roman" w:cs="Times New Roman"/>
          <w:sz w:val="24"/>
          <w:szCs w:val="24"/>
        </w:rPr>
        <w:t xml:space="preserve">slide decks, and </w:t>
      </w:r>
      <w:r w:rsidR="000B258A">
        <w:rPr>
          <w:rFonts w:ascii="Times New Roman" w:hAnsi="Times New Roman" w:cs="Times New Roman"/>
          <w:sz w:val="24"/>
          <w:szCs w:val="24"/>
        </w:rPr>
        <w:t xml:space="preserve">more. </w:t>
      </w:r>
    </w:p>
    <w:p w14:paraId="0B0B33A0" w14:textId="77777777" w:rsidR="001B171B" w:rsidRPr="003D61D1" w:rsidRDefault="001B171B" w:rsidP="001B171B">
      <w:pPr>
        <w:pStyle w:val="Default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sz w:val="26"/>
          <w:szCs w:val="26"/>
        </w:rPr>
      </w:pPr>
    </w:p>
    <w:p w14:paraId="63F4FC95" w14:textId="77777777" w:rsidR="0067546C" w:rsidRDefault="00566C7A" w:rsidP="006164EE">
      <w:pPr>
        <w:pStyle w:val="Default"/>
        <w:pBdr>
          <w:left w:val="none" w:sz="0" w:space="0" w:color="auto"/>
          <w:right w:val="none" w:sz="0" w:space="0" w:color="auto"/>
        </w:pBd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57FE" w:rsidRPr="003F68DE">
        <w:rPr>
          <w:rFonts w:ascii="Times New Roman" w:hAnsi="Times New Roman" w:cs="Times New Roman"/>
          <w:sz w:val="24"/>
          <w:szCs w:val="24"/>
        </w:rPr>
        <w:t>herapeutic areas include</w:t>
      </w:r>
      <w:r w:rsidR="0067546C">
        <w:rPr>
          <w:rFonts w:ascii="Times New Roman" w:hAnsi="Times New Roman" w:cs="Times New Roman"/>
          <w:sz w:val="24"/>
          <w:szCs w:val="24"/>
        </w:rPr>
        <w:t>:</w:t>
      </w:r>
    </w:p>
    <w:p w14:paraId="1F32BD2C" w14:textId="77777777" w:rsidR="0067546C" w:rsidRDefault="0067546C" w:rsidP="006164EE">
      <w:pPr>
        <w:pStyle w:val="Default"/>
        <w:numPr>
          <w:ilvl w:val="0"/>
          <w:numId w:val="14"/>
        </w:numPr>
        <w:pBdr>
          <w:left w:val="none" w:sz="0" w:space="0" w:color="auto"/>
          <w:right w:val="none" w:sz="0" w:space="0" w:color="auto"/>
        </w:pBdr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B171B" w:rsidRPr="003F68DE">
        <w:rPr>
          <w:rFonts w:ascii="Times New Roman" w:hAnsi="Times New Roman" w:cs="Times New Roman"/>
          <w:sz w:val="24"/>
          <w:szCs w:val="24"/>
        </w:rPr>
        <w:t>ncology</w:t>
      </w:r>
    </w:p>
    <w:p w14:paraId="1820E3E5" w14:textId="77777777" w:rsidR="00454226" w:rsidRDefault="0067546C" w:rsidP="006164EE">
      <w:pPr>
        <w:pStyle w:val="Default"/>
        <w:numPr>
          <w:ilvl w:val="0"/>
          <w:numId w:val="14"/>
        </w:numPr>
        <w:pBdr>
          <w:left w:val="none" w:sz="0" w:space="0" w:color="auto"/>
          <w:right w:val="none" w:sz="0" w:space="0" w:color="auto"/>
        </w:pBdr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3326" w:rsidRPr="003F68DE">
        <w:rPr>
          <w:rFonts w:ascii="Times New Roman" w:hAnsi="Times New Roman" w:cs="Times New Roman"/>
          <w:sz w:val="24"/>
          <w:szCs w:val="24"/>
        </w:rPr>
        <w:t xml:space="preserve">eurology </w:t>
      </w:r>
      <w:r w:rsidR="001B171B" w:rsidRPr="003F68DE">
        <w:rPr>
          <w:rFonts w:ascii="Times New Roman" w:hAnsi="Times New Roman" w:cs="Times New Roman"/>
          <w:sz w:val="24"/>
          <w:szCs w:val="24"/>
        </w:rPr>
        <w:t>(multiple sclerosis</w:t>
      </w:r>
      <w:r w:rsidR="00306773" w:rsidRPr="003F68DE">
        <w:rPr>
          <w:rFonts w:ascii="Times New Roman" w:hAnsi="Times New Roman" w:cs="Times New Roman"/>
          <w:sz w:val="24"/>
          <w:szCs w:val="24"/>
        </w:rPr>
        <w:t xml:space="preserve">, </w:t>
      </w:r>
      <w:r w:rsidR="00035F79">
        <w:rPr>
          <w:rFonts w:ascii="Times New Roman" w:hAnsi="Times New Roman" w:cs="Times New Roman"/>
          <w:sz w:val="24"/>
          <w:szCs w:val="24"/>
        </w:rPr>
        <w:t xml:space="preserve">other neurodegenerative diseases, </w:t>
      </w:r>
      <w:r w:rsidR="001B171B" w:rsidRPr="003F68DE">
        <w:rPr>
          <w:rFonts w:ascii="Times New Roman" w:hAnsi="Times New Roman" w:cs="Times New Roman"/>
          <w:sz w:val="24"/>
          <w:szCs w:val="24"/>
        </w:rPr>
        <w:t>epilepsy</w:t>
      </w:r>
      <w:r w:rsidR="007F610C">
        <w:rPr>
          <w:rFonts w:ascii="Times New Roman" w:hAnsi="Times New Roman" w:cs="Times New Roman"/>
          <w:sz w:val="24"/>
          <w:szCs w:val="24"/>
        </w:rPr>
        <w:t>)</w:t>
      </w:r>
    </w:p>
    <w:p w14:paraId="2B2980C1" w14:textId="77777777" w:rsidR="004B2503" w:rsidRDefault="00454226" w:rsidP="006164EE">
      <w:pPr>
        <w:pStyle w:val="Default"/>
        <w:numPr>
          <w:ilvl w:val="0"/>
          <w:numId w:val="14"/>
        </w:numPr>
        <w:pBdr>
          <w:left w:val="none" w:sz="0" w:space="0" w:color="auto"/>
          <w:right w:val="none" w:sz="0" w:space="0" w:color="auto"/>
        </w:pBdr>
        <w:spacing w:afterLines="40" w:after="96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1C1F50">
        <w:rPr>
          <w:rFonts w:ascii="Times New Roman" w:hAnsi="Times New Roman" w:cs="Times New Roman"/>
          <w:sz w:val="24"/>
          <w:szCs w:val="24"/>
        </w:rPr>
        <w:t>C</w:t>
      </w:r>
      <w:r w:rsidR="00885BA6" w:rsidRPr="001C1F50">
        <w:rPr>
          <w:rFonts w:ascii="Times New Roman" w:hAnsi="Times New Roman" w:cs="Times New Roman"/>
          <w:sz w:val="24"/>
          <w:szCs w:val="24"/>
        </w:rPr>
        <w:t>ardiology</w:t>
      </w:r>
    </w:p>
    <w:p w14:paraId="51739DC5" w14:textId="56EA81EC" w:rsidR="00BB5958" w:rsidRPr="007F77B9" w:rsidRDefault="005066B3" w:rsidP="006164EE">
      <w:pPr>
        <w:pStyle w:val="Default"/>
        <w:numPr>
          <w:ilvl w:val="0"/>
          <w:numId w:val="14"/>
        </w:numPr>
        <w:pBdr>
          <w:left w:val="none" w:sz="0" w:space="0" w:color="auto"/>
          <w:right w:val="none" w:sz="0" w:space="0" w:color="auto"/>
        </w:pBdr>
        <w:spacing w:afterLines="40" w:after="96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 w:rsidRPr="004B2503">
        <w:rPr>
          <w:rFonts w:ascii="Times New Roman" w:hAnsi="Times New Roman" w:cs="Times New Roman"/>
          <w:sz w:val="24"/>
          <w:szCs w:val="24"/>
        </w:rPr>
        <w:t>R</w:t>
      </w:r>
      <w:r w:rsidR="00885BA6" w:rsidRPr="004B2503">
        <w:rPr>
          <w:rFonts w:ascii="Times New Roman" w:hAnsi="Times New Roman" w:cs="Times New Roman"/>
          <w:sz w:val="24"/>
          <w:szCs w:val="24"/>
        </w:rPr>
        <w:t>are diseases</w:t>
      </w:r>
    </w:p>
    <w:p w14:paraId="7D871445" w14:textId="1267EA82" w:rsidR="007F77B9" w:rsidRPr="004B2503" w:rsidRDefault="00EA5CC0" w:rsidP="006164EE">
      <w:pPr>
        <w:pStyle w:val="Default"/>
        <w:numPr>
          <w:ilvl w:val="0"/>
          <w:numId w:val="14"/>
        </w:numPr>
        <w:pBdr>
          <w:left w:val="none" w:sz="0" w:space="0" w:color="auto"/>
          <w:right w:val="none" w:sz="0" w:space="0" w:color="auto"/>
        </w:pBdr>
        <w:spacing w:afterLines="40" w:after="96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Nephrology </w:t>
      </w:r>
    </w:p>
    <w:p w14:paraId="5609F4C7" w14:textId="77777777" w:rsidR="005B308B" w:rsidRPr="001C1F50" w:rsidRDefault="005B308B" w:rsidP="005B308B">
      <w:pPr>
        <w:pStyle w:val="Default"/>
        <w:pBdr>
          <w:left w:val="none" w:sz="0" w:space="0" w:color="auto"/>
          <w:right w:val="none" w:sz="0" w:space="0" w:color="auto"/>
        </w:pBdr>
        <w:spacing w:afterLines="20" w:after="48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</w:p>
    <w:p w14:paraId="2ED092DD" w14:textId="4053E3ED" w:rsidR="00D0690E" w:rsidRPr="003D61D1" w:rsidRDefault="00637CE5" w:rsidP="0081025D">
      <w:pPr>
        <w:pStyle w:val="Default"/>
        <w:pBdr>
          <w:left w:val="none" w:sz="0" w:space="0" w:color="auto"/>
          <w:right w:val="none" w:sz="0" w:space="0" w:color="auto"/>
        </w:pBdr>
        <w:spacing w:afterLines="20" w:after="48"/>
        <w:rPr>
          <w:sz w:val="26"/>
          <w:szCs w:val="26"/>
        </w:rPr>
      </w:pPr>
      <w:r w:rsidRPr="003D61D1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CAREER HISTORY </w:t>
      </w:r>
    </w:p>
    <w:p w14:paraId="13685EB8" w14:textId="2C1A5F19" w:rsidR="00142717" w:rsidRPr="00B1495C" w:rsidRDefault="00637CE5" w:rsidP="0081025D">
      <w:pPr>
        <w:pStyle w:val="Defaul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afterLines="20" w:after="48"/>
        <w:rPr>
          <w:rFonts w:ascii="Times New Roman" w:hAnsi="Times New Roman" w:cs="Times New Roman"/>
          <w:sz w:val="26"/>
          <w:szCs w:val="26"/>
        </w:rPr>
      </w:pPr>
      <w:r w:rsidRPr="00B1495C">
        <w:rPr>
          <w:rStyle w:val="None"/>
          <w:rFonts w:ascii="Times New Roman" w:hAnsi="Times New Roman" w:cs="Times New Roman"/>
          <w:sz w:val="26"/>
          <w:szCs w:val="26"/>
        </w:rPr>
        <w:t>2012 to Current</w:t>
      </w:r>
      <w:r w:rsidR="00B1495C">
        <w:rPr>
          <w:rStyle w:val="None"/>
          <w:rFonts w:ascii="Times New Roman" w:hAnsi="Times New Roman" w:cs="Times New Roman"/>
          <w:sz w:val="26"/>
          <w:szCs w:val="26"/>
        </w:rPr>
        <w:t xml:space="preserve">: </w:t>
      </w:r>
      <w:r w:rsidRPr="00B1495C">
        <w:rPr>
          <w:rStyle w:val="None"/>
          <w:rFonts w:ascii="Times New Roman" w:hAnsi="Times New Roman" w:cs="Times New Roman"/>
          <w:sz w:val="26"/>
          <w:szCs w:val="26"/>
        </w:rPr>
        <w:t xml:space="preserve">  </w:t>
      </w:r>
      <w:r w:rsidR="00C871D4">
        <w:rPr>
          <w:rStyle w:val="None"/>
          <w:rFonts w:ascii="Times New Roman" w:hAnsi="Times New Roman" w:cs="Times New Roman"/>
          <w:sz w:val="26"/>
          <w:szCs w:val="26"/>
        </w:rPr>
        <w:t xml:space="preserve">  </w:t>
      </w:r>
      <w:r w:rsidRPr="00B1495C">
        <w:rPr>
          <w:rStyle w:val="None"/>
          <w:rFonts w:ascii="Times New Roman" w:hAnsi="Times New Roman" w:cs="Times New Roman"/>
          <w:sz w:val="26"/>
          <w:szCs w:val="26"/>
        </w:rPr>
        <w:t>Principal writer CMEScribe LLC</w:t>
      </w:r>
      <w:r w:rsidRPr="00B1495C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60679CF" w14:textId="1DAA2505" w:rsidR="00142717" w:rsidRPr="003D61D1" w:rsidRDefault="00142717" w:rsidP="0081025D">
      <w:pPr>
        <w:pStyle w:val="Defaul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afterLines="20" w:after="48"/>
        <w:rPr>
          <w:sz w:val="26"/>
          <w:szCs w:val="26"/>
        </w:rPr>
      </w:pPr>
      <w:r w:rsidRPr="003D61D1">
        <w:rPr>
          <w:rFonts w:ascii="Times New Roman" w:hAnsi="Times New Roman" w:cs="Times New Roman"/>
          <w:sz w:val="26"/>
          <w:szCs w:val="26"/>
        </w:rPr>
        <w:t>Jan 2010-</w:t>
      </w:r>
      <w:r w:rsidR="00D27C1C" w:rsidRPr="003D61D1">
        <w:rPr>
          <w:rFonts w:ascii="Times New Roman" w:hAnsi="Times New Roman" w:cs="Times New Roman"/>
          <w:sz w:val="26"/>
          <w:szCs w:val="26"/>
        </w:rPr>
        <w:t>Oct</w:t>
      </w:r>
      <w:r w:rsidRPr="003D61D1">
        <w:rPr>
          <w:rFonts w:ascii="Times New Roman" w:hAnsi="Times New Roman" w:cs="Times New Roman"/>
          <w:sz w:val="26"/>
          <w:szCs w:val="26"/>
        </w:rPr>
        <w:t xml:space="preserve"> 2012</w:t>
      </w:r>
      <w:r w:rsidR="00B1495C">
        <w:rPr>
          <w:rFonts w:ascii="Times New Roman" w:hAnsi="Times New Roman" w:cs="Times New Roman"/>
          <w:sz w:val="26"/>
          <w:szCs w:val="26"/>
        </w:rPr>
        <w:t xml:space="preserve">: </w:t>
      </w:r>
      <w:r w:rsidRPr="003D61D1">
        <w:rPr>
          <w:rFonts w:ascii="Times New Roman" w:hAnsi="Times New Roman" w:cs="Times New Roman"/>
          <w:sz w:val="26"/>
          <w:szCs w:val="26"/>
        </w:rPr>
        <w:t xml:space="preserve"> Research Professor, University of Central Florida</w:t>
      </w:r>
    </w:p>
    <w:p w14:paraId="77769673" w14:textId="3080BCBD" w:rsidR="00E403F2" w:rsidRPr="009A0608" w:rsidRDefault="00D27C1C" w:rsidP="00B1495C">
      <w:pPr>
        <w:pStyle w:val="Defaul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afterLines="20" w:after="48"/>
        <w:rPr>
          <w:sz w:val="26"/>
          <w:szCs w:val="26"/>
        </w:rPr>
      </w:pPr>
      <w:r w:rsidRPr="003D61D1">
        <w:rPr>
          <w:rFonts w:ascii="Times New Roman" w:hAnsi="Times New Roman" w:cs="Times New Roman"/>
          <w:sz w:val="26"/>
          <w:szCs w:val="26"/>
        </w:rPr>
        <w:t>Dec</w:t>
      </w:r>
      <w:r w:rsidR="00142717" w:rsidRPr="003D61D1">
        <w:rPr>
          <w:rFonts w:ascii="Times New Roman" w:hAnsi="Times New Roman" w:cs="Times New Roman"/>
          <w:sz w:val="26"/>
          <w:szCs w:val="26"/>
        </w:rPr>
        <w:t xml:space="preserve"> 2004-</w:t>
      </w:r>
      <w:r w:rsidRPr="003D61D1">
        <w:rPr>
          <w:rFonts w:ascii="Times New Roman" w:hAnsi="Times New Roman" w:cs="Times New Roman"/>
          <w:sz w:val="26"/>
          <w:szCs w:val="26"/>
        </w:rPr>
        <w:t>Dec</w:t>
      </w:r>
      <w:r w:rsidR="00142717" w:rsidRPr="003D61D1">
        <w:rPr>
          <w:rFonts w:ascii="Times New Roman" w:hAnsi="Times New Roman" w:cs="Times New Roman"/>
          <w:sz w:val="26"/>
          <w:szCs w:val="26"/>
        </w:rPr>
        <w:t xml:space="preserve"> 2009</w:t>
      </w:r>
      <w:r w:rsidR="00B1495C">
        <w:rPr>
          <w:rFonts w:ascii="Times New Roman" w:hAnsi="Times New Roman" w:cs="Times New Roman"/>
          <w:sz w:val="26"/>
          <w:szCs w:val="26"/>
        </w:rPr>
        <w:t xml:space="preserve">: </w:t>
      </w:r>
      <w:r w:rsidR="00142717" w:rsidRPr="003D61D1">
        <w:rPr>
          <w:rFonts w:ascii="Times New Roman" w:hAnsi="Times New Roman" w:cs="Times New Roman"/>
          <w:sz w:val="26"/>
          <w:szCs w:val="26"/>
        </w:rPr>
        <w:t>Research Professor, University of Cincinnati</w:t>
      </w:r>
    </w:p>
    <w:p w14:paraId="3D05389E" w14:textId="5895C6ED" w:rsidR="009A0608" w:rsidRPr="003D55B3" w:rsidRDefault="009A0608" w:rsidP="00B1495C">
      <w:pPr>
        <w:pStyle w:val="Defaul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afterLines="20" w:after="48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2000-2004: </w:t>
      </w:r>
      <w:r w:rsidR="00C871D4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C871D4">
        <w:rPr>
          <w:rFonts w:ascii="Times New Roman" w:hAnsi="Times New Roman" w:cs="Times New Roman"/>
          <w:sz w:val="26"/>
          <w:szCs w:val="26"/>
        </w:rPr>
        <w:t>P</w:t>
      </w:r>
      <w:r w:rsidR="003D55B3">
        <w:rPr>
          <w:rFonts w:ascii="Times New Roman" w:hAnsi="Times New Roman" w:cs="Times New Roman"/>
          <w:sz w:val="26"/>
          <w:szCs w:val="26"/>
        </w:rPr>
        <w:t>ost-doctoral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fellow,</w:t>
      </w:r>
      <w:r w:rsidR="008B1D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UCLA</w:t>
      </w:r>
    </w:p>
    <w:p w14:paraId="7A24A301" w14:textId="39CFB444" w:rsidR="003B3CE0" w:rsidRPr="00554A82" w:rsidRDefault="00BC49E2" w:rsidP="0081025D">
      <w:pPr>
        <w:pStyle w:val="Defaul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afterLines="20" w:after="48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1999</w:t>
      </w:r>
      <w:r w:rsidR="003D55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2000</w:t>
      </w:r>
      <w:r w:rsidR="003D55B3">
        <w:rPr>
          <w:rFonts w:ascii="Times New Roman" w:hAnsi="Times New Roman" w:cs="Times New Roman"/>
          <w:sz w:val="26"/>
          <w:szCs w:val="26"/>
        </w:rPr>
        <w:t xml:space="preserve">: </w:t>
      </w:r>
      <w:r w:rsidR="00C871D4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C871D4">
        <w:rPr>
          <w:rFonts w:ascii="Times New Roman" w:hAnsi="Times New Roman" w:cs="Times New Roman"/>
          <w:sz w:val="26"/>
          <w:szCs w:val="26"/>
        </w:rPr>
        <w:t>P</w:t>
      </w:r>
      <w:r w:rsidR="003D55B3">
        <w:rPr>
          <w:rFonts w:ascii="Times New Roman" w:hAnsi="Times New Roman" w:cs="Times New Roman"/>
          <w:sz w:val="26"/>
          <w:szCs w:val="26"/>
        </w:rPr>
        <w:t>ost-doctoral</w:t>
      </w:r>
      <w:proofErr w:type="gramEnd"/>
      <w:r w:rsidR="003D55B3">
        <w:rPr>
          <w:rFonts w:ascii="Times New Roman" w:hAnsi="Times New Roman" w:cs="Times New Roman"/>
          <w:sz w:val="26"/>
          <w:szCs w:val="26"/>
        </w:rPr>
        <w:t xml:space="preserve"> fellow, Tufts New England Medical Center</w:t>
      </w:r>
    </w:p>
    <w:p w14:paraId="13C03BFA" w14:textId="77777777" w:rsidR="00343922" w:rsidRDefault="00343922" w:rsidP="0081025D">
      <w:pPr>
        <w:pStyle w:val="Default"/>
        <w:pBdr>
          <w:left w:val="none" w:sz="0" w:space="0" w:color="auto"/>
          <w:right w:val="none" w:sz="0" w:space="0" w:color="auto"/>
        </w:pBdr>
        <w:spacing w:afterLines="20" w:after="48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F9AD296" w14:textId="52048DC9" w:rsidR="0081025D" w:rsidRPr="00343922" w:rsidRDefault="0081025D" w:rsidP="0081025D">
      <w:pPr>
        <w:pStyle w:val="Default"/>
        <w:pBdr>
          <w:left w:val="none" w:sz="0" w:space="0" w:color="auto"/>
          <w:right w:val="none" w:sz="0" w:space="0" w:color="auto"/>
        </w:pBdr>
        <w:spacing w:afterLines="20" w:after="48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343922">
        <w:rPr>
          <w:rFonts w:ascii="Times New Roman" w:hAnsi="Times New Roman" w:cs="Times New Roman"/>
          <w:b/>
          <w:bCs/>
          <w:sz w:val="24"/>
          <w:szCs w:val="24"/>
          <w:lang w:val="de-DE"/>
        </w:rPr>
        <w:t>EDUCATION</w:t>
      </w:r>
    </w:p>
    <w:p w14:paraId="218DAAEC" w14:textId="77777777" w:rsidR="0081025D" w:rsidRPr="00343922" w:rsidRDefault="0081025D" w:rsidP="0081025D">
      <w:pPr>
        <w:pStyle w:val="Default"/>
        <w:numPr>
          <w:ilvl w:val="0"/>
          <w:numId w:val="11"/>
        </w:num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343922">
        <w:rPr>
          <w:rFonts w:ascii="Times New Roman" w:hAnsi="Times New Roman" w:cs="Times New Roman"/>
          <w:sz w:val="24"/>
          <w:szCs w:val="24"/>
        </w:rPr>
        <w:t>Ph. D., Biochemistry, University of Tennessee, Memphis, TN</w:t>
      </w:r>
    </w:p>
    <w:p w14:paraId="52E2DEE6" w14:textId="77777777" w:rsidR="0081025D" w:rsidRPr="00343922" w:rsidRDefault="0081025D" w:rsidP="0081025D">
      <w:pPr>
        <w:pStyle w:val="Default"/>
        <w:numPr>
          <w:ilvl w:val="0"/>
          <w:numId w:val="11"/>
        </w:numPr>
        <w:spacing w:afterLines="20" w:after="48"/>
        <w:rPr>
          <w:rFonts w:ascii="Times New Roman" w:hAnsi="Times New Roman" w:cs="Times New Roman"/>
          <w:sz w:val="24"/>
          <w:szCs w:val="24"/>
          <w:lang w:val="de-DE"/>
        </w:rPr>
      </w:pPr>
      <w:r w:rsidRPr="00343922">
        <w:rPr>
          <w:rFonts w:ascii="Times New Roman" w:hAnsi="Times New Roman" w:cs="Times New Roman"/>
          <w:sz w:val="24"/>
          <w:szCs w:val="24"/>
        </w:rPr>
        <w:t xml:space="preserve">B.S., Biology, University of Central Florida, Orlando, FL </w:t>
      </w:r>
    </w:p>
    <w:p w14:paraId="7E72A9A3" w14:textId="77777777" w:rsidR="00EC6C76" w:rsidRPr="00343922" w:rsidRDefault="00EC6C76" w:rsidP="00AD1F45">
      <w:pPr>
        <w:pStyle w:val="Default"/>
        <w:pBdr>
          <w:left w:val="none" w:sz="0" w:space="0" w:color="auto"/>
          <w:right w:val="none" w:sz="0" w:space="0" w:color="auto"/>
        </w:pBdr>
        <w:spacing w:after="1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519A2B8" w14:textId="77777777" w:rsidR="009A0608" w:rsidRDefault="009A0608" w:rsidP="00AD1F45">
      <w:pPr>
        <w:pStyle w:val="Default"/>
        <w:pBdr>
          <w:left w:val="none" w:sz="0" w:space="0" w:color="auto"/>
          <w:right w:val="none" w:sz="0" w:space="0" w:color="auto"/>
        </w:pBdr>
        <w:spacing w:after="1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5BDAC0F" w14:textId="77777777" w:rsidR="009A0608" w:rsidRDefault="009A0608" w:rsidP="00AD1F45">
      <w:pPr>
        <w:pStyle w:val="Default"/>
        <w:pBdr>
          <w:left w:val="none" w:sz="0" w:space="0" w:color="auto"/>
          <w:right w:val="none" w:sz="0" w:space="0" w:color="auto"/>
        </w:pBdr>
        <w:spacing w:after="1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5A049B4" w14:textId="77777777" w:rsidR="009A0608" w:rsidRDefault="009A0608" w:rsidP="00AD1F45">
      <w:pPr>
        <w:pStyle w:val="Default"/>
        <w:pBdr>
          <w:left w:val="none" w:sz="0" w:space="0" w:color="auto"/>
          <w:right w:val="none" w:sz="0" w:space="0" w:color="auto"/>
        </w:pBdr>
        <w:spacing w:after="1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C58E0EB" w14:textId="77777777" w:rsidR="009A0608" w:rsidRDefault="009A0608" w:rsidP="00AD1F45">
      <w:pPr>
        <w:pStyle w:val="Default"/>
        <w:pBdr>
          <w:left w:val="none" w:sz="0" w:space="0" w:color="auto"/>
          <w:right w:val="none" w:sz="0" w:space="0" w:color="auto"/>
        </w:pBdr>
        <w:spacing w:after="1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7C52AF7" w14:textId="345BAF17" w:rsidR="0078682F" w:rsidRPr="00343922" w:rsidRDefault="003F68DE" w:rsidP="00AD1F45">
      <w:pPr>
        <w:pStyle w:val="Default"/>
        <w:pBdr>
          <w:left w:val="none" w:sz="0" w:space="0" w:color="auto"/>
          <w:right w:val="none" w:sz="0" w:space="0" w:color="auto"/>
        </w:pBdr>
        <w:spacing w:after="1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EXPERIENCE</w:t>
      </w:r>
    </w:p>
    <w:p w14:paraId="22F39DF3" w14:textId="5E53D9E7" w:rsidR="002F3422" w:rsidRPr="000B31CB" w:rsidRDefault="002F3422" w:rsidP="002F3422">
      <w:pPr>
        <w:numPr>
          <w:ilvl w:val="0"/>
          <w:numId w:val="1"/>
        </w:numPr>
        <w:pBdr>
          <w:top w:val="nil"/>
          <w:left w:val="none" w:sz="0" w:space="0" w:color="000000"/>
          <w:bottom w:val="nil"/>
          <w:right w:val="none" w:sz="0" w:space="0" w:color="000000"/>
          <w:between w:val="nil"/>
        </w:pBdr>
        <w:shd w:val="clear" w:color="auto" w:fill="FFFFFF"/>
        <w:tabs>
          <w:tab w:val="left" w:pos="360"/>
        </w:tabs>
        <w:spacing w:afterLines="60" w:after="144"/>
        <w:rPr>
          <w:color w:val="000000"/>
        </w:rPr>
      </w:pPr>
      <w:r>
        <w:rPr>
          <w:color w:val="000000"/>
        </w:rPr>
        <w:t xml:space="preserve">CME needs Assessment grants: </w:t>
      </w:r>
      <w:r w:rsidR="00A05231">
        <w:rPr>
          <w:color w:val="000000"/>
        </w:rPr>
        <w:t>small cell lung cancer</w:t>
      </w:r>
      <w:r>
        <w:rPr>
          <w:color w:val="000000"/>
        </w:rPr>
        <w:t xml:space="preserve"> (funded), all types of breast cancer (multiple funded), desmoid tumors (funded), multiple sclerosis (funded), HNCC, cervical cancer, heart failure, chronic kidney disease, non-invasive prenatal testing with next generation sequencing, IgA nephropathy, idiopathic hypersomnia, Huntington’s disease, diabetes, systemic lupus erythematosus, pediatric multiple sclerosis, schizophrenia, insomnia disorders, generalized tonic-clinic seizures, cystic fibrosis, &amp; more</w:t>
      </w:r>
      <w:r w:rsidRPr="000B31CB">
        <w:t xml:space="preserve"> </w:t>
      </w:r>
    </w:p>
    <w:p w14:paraId="447E7B2C" w14:textId="77777777" w:rsidR="00FD4EDD" w:rsidRPr="003F68DE" w:rsidRDefault="00FD4EDD" w:rsidP="00FD4EDD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Published or submitted: </w:t>
      </w:r>
      <w:r w:rsidRPr="00B27992">
        <w:rPr>
          <w:rFonts w:ascii="Times New Roman" w:hAnsi="Times New Roman" w:cs="Times New Roman"/>
          <w:i/>
          <w:iCs/>
          <w:sz w:val="24"/>
          <w:szCs w:val="24"/>
        </w:rPr>
        <w:t>JACC: Cardiovascular Interventions,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>Nature Immunology, JAMA, BMJ Open, Epilepsia, Journal of Managed Care Specialty Pharmacy, Clinical Nutrition, Antimicrobial Agents and Chemotherapy, Biomaterials, Nanomedicine</w:t>
      </w:r>
      <w:r w:rsidRPr="003F68DE">
        <w:rPr>
          <w:rFonts w:ascii="Times New Roman" w:hAnsi="Times New Roman" w:cs="Times New Roman"/>
          <w:sz w:val="24"/>
          <w:szCs w:val="24"/>
        </w:rPr>
        <w:t xml:space="preserve">,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>Current Pharmaceutical Design, Current Drug Metabolism,</w:t>
      </w:r>
      <w:r w:rsidRPr="003F68DE">
        <w:rPr>
          <w:rFonts w:ascii="Times New Roman" w:hAnsi="Times New Roman" w:cs="Times New Roman"/>
          <w:sz w:val="24"/>
          <w:szCs w:val="24"/>
        </w:rPr>
        <w:t xml:space="preserve">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 xml:space="preserve">J. of Inherited Metabolic Diseases, EPMA J., Nutritional Metabolism, </w:t>
      </w:r>
      <w:r w:rsidRPr="003F68DE">
        <w:rPr>
          <w:rFonts w:ascii="Times New Roman" w:hAnsi="Times New Roman" w:cs="Times New Roman"/>
          <w:sz w:val="24"/>
          <w:szCs w:val="24"/>
        </w:rPr>
        <w:t>and more</w:t>
      </w:r>
    </w:p>
    <w:p w14:paraId="43482685" w14:textId="77777777" w:rsidR="00FD4EDD" w:rsidRDefault="00FD4EDD" w:rsidP="00FD4EDD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Conference abstracts: &gt;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68DE">
        <w:rPr>
          <w:rFonts w:ascii="Times New Roman" w:hAnsi="Times New Roman" w:cs="Times New Roman"/>
          <w:sz w:val="24"/>
          <w:szCs w:val="24"/>
        </w:rPr>
        <w:t>0</w:t>
      </w:r>
    </w:p>
    <w:p w14:paraId="41FA867F" w14:textId="77777777" w:rsidR="00FD4EDD" w:rsidRPr="00D22D84" w:rsidRDefault="00FD4EDD" w:rsidP="00FD4EDD">
      <w:pPr>
        <w:pStyle w:val="Default"/>
        <w:numPr>
          <w:ilvl w:val="0"/>
          <w:numId w:val="1"/>
        </w:numP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News pieces with an interview with scientists just published in in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 xml:space="preserve">Science </w:t>
      </w:r>
      <w:r w:rsidRPr="003F68DE">
        <w:rPr>
          <w:rFonts w:ascii="Times New Roman" w:hAnsi="Times New Roman" w:cs="Times New Roman"/>
          <w:sz w:val="24"/>
          <w:szCs w:val="24"/>
        </w:rPr>
        <w:t xml:space="preserve">and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>Nature</w:t>
      </w:r>
      <w:r w:rsidRPr="003F68DE">
        <w:rPr>
          <w:rFonts w:ascii="Times New Roman" w:hAnsi="Times New Roman" w:cs="Times New Roman"/>
          <w:sz w:val="24"/>
          <w:szCs w:val="24"/>
        </w:rPr>
        <w:t xml:space="preserve"> family of journals especially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>Science Translational Medicine</w:t>
      </w:r>
      <w:r w:rsidRPr="003F68DE">
        <w:rPr>
          <w:rFonts w:ascii="Times New Roman" w:hAnsi="Times New Roman" w:cs="Times New Roman"/>
          <w:sz w:val="24"/>
          <w:szCs w:val="24"/>
        </w:rPr>
        <w:t>: &gt; 90</w:t>
      </w:r>
    </w:p>
    <w:p w14:paraId="21E7038A" w14:textId="5A6ACC98" w:rsidR="007871F7" w:rsidRDefault="007871F7" w:rsidP="00BB6802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decks, course design, course handouts, KoL identification/interaction </w:t>
      </w:r>
    </w:p>
    <w:p w14:paraId="4CD5492E" w14:textId="77777777" w:rsidR="004500D5" w:rsidRPr="003F68DE" w:rsidRDefault="004500D5" w:rsidP="00BB6802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Peer-reviewed biomedical manuscripts, reviews, pharmacist guidelines, and meta-analysis: </w:t>
      </w:r>
    </w:p>
    <w:p w14:paraId="2D654054" w14:textId="77777777" w:rsidR="004500D5" w:rsidRPr="003F68DE" w:rsidRDefault="004500D5" w:rsidP="00BB6802">
      <w:pPr>
        <w:pStyle w:val="Default"/>
        <w:numPr>
          <w:ilvl w:val="1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Clinical trial studies </w:t>
      </w:r>
    </w:p>
    <w:p w14:paraId="2061AF75" w14:textId="77777777" w:rsidR="004500D5" w:rsidRPr="003F68DE" w:rsidRDefault="004500D5" w:rsidP="00BB6802">
      <w:pPr>
        <w:pStyle w:val="Default"/>
        <w:numPr>
          <w:ilvl w:val="1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>Basic science (animal disease models &amp; toxicology)</w:t>
      </w:r>
    </w:p>
    <w:p w14:paraId="5E94E648" w14:textId="77777777" w:rsidR="004500D5" w:rsidRPr="003F68DE" w:rsidRDefault="004500D5" w:rsidP="00BB6802">
      <w:pPr>
        <w:pStyle w:val="Default"/>
        <w:numPr>
          <w:ilvl w:val="1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>Meta-analysis with statistics</w:t>
      </w:r>
    </w:p>
    <w:p w14:paraId="11533CA3" w14:textId="77777777" w:rsidR="004500D5" w:rsidRPr="003F68DE" w:rsidRDefault="004500D5" w:rsidP="00BB6802">
      <w:pPr>
        <w:pStyle w:val="Default"/>
        <w:numPr>
          <w:ilvl w:val="1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Evidence based health technology assessments of emerging technologies </w:t>
      </w:r>
    </w:p>
    <w:p w14:paraId="122CEF33" w14:textId="77777777" w:rsidR="004363B2" w:rsidRDefault="005368C1" w:rsidP="00BB6802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Systematic review with meta-analysis just published in the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>Journal of Lasers in Medical Sciences</w:t>
      </w:r>
      <w:r w:rsidRPr="003F68DE">
        <w:rPr>
          <w:rFonts w:ascii="Times New Roman" w:hAnsi="Times New Roman" w:cs="Times New Roman"/>
          <w:sz w:val="24"/>
          <w:szCs w:val="24"/>
        </w:rPr>
        <w:t xml:space="preserve">, 2022; Another meta-analysis on topic has been completed. The accepted paper identified 21 RCTs meeting inclusion criteria for involving 1064nm wavelength high-powered (&gt;1.0W) lasers used in photobiomodulation and analysis was performed using Cohen’s </w:t>
      </w:r>
      <w:r w:rsidRPr="003F68D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F68DE">
        <w:rPr>
          <w:rFonts w:ascii="Times New Roman" w:hAnsi="Times New Roman" w:cs="Times New Roman"/>
          <w:sz w:val="24"/>
          <w:szCs w:val="24"/>
        </w:rPr>
        <w:t xml:space="preserve"> effect size calculations as a means of quantifying efficacy for these devices. </w:t>
      </w:r>
    </w:p>
    <w:p w14:paraId="7FE76F62" w14:textId="586768D1" w:rsidR="005368C1" w:rsidRPr="004363B2" w:rsidRDefault="005368C1" w:rsidP="00BB6802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4363B2">
        <w:rPr>
          <w:rFonts w:ascii="Times New Roman" w:hAnsi="Times New Roman" w:cs="Times New Roman"/>
          <w:sz w:val="24"/>
          <w:szCs w:val="24"/>
        </w:rPr>
        <w:t>Book chapters in dermatology and nutrition: 5</w:t>
      </w:r>
    </w:p>
    <w:p w14:paraId="62A9FF1C" w14:textId="2ACE58A5" w:rsidR="003A7F9F" w:rsidRPr="003F68DE" w:rsidRDefault="003A7F9F" w:rsidP="00BB6802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Medical technology directory reports: Comprehensive reviews focused on cutting edge medical technologies for practice, budgetary and policy decisions. Subscription only (see </w:t>
      </w:r>
      <w:hyperlink r:id="rId10" w:history="1">
        <w:r w:rsidRPr="003F68DE">
          <w:rPr>
            <w:rStyle w:val="Hyperlink1"/>
            <w:rFonts w:ascii="Times New Roman" w:hAnsi="Times New Roman" w:cs="Times New Roman"/>
            <w:sz w:val="24"/>
            <w:szCs w:val="24"/>
          </w:rPr>
          <w:t>https://www.hayesinc.com/hayes/publications/medical-technology-directory/</w:t>
        </w:r>
      </w:hyperlink>
      <w:r w:rsidRPr="003F68DE">
        <w:rPr>
          <w:rStyle w:val="None"/>
          <w:rFonts w:ascii="Times New Roman" w:hAnsi="Times New Roman" w:cs="Times New Roman"/>
          <w:sz w:val="24"/>
          <w:szCs w:val="24"/>
        </w:rPr>
        <w:t>)</w:t>
      </w:r>
      <w:r w:rsidRPr="003F68DE">
        <w:rPr>
          <w:rFonts w:ascii="Times New Roman" w:hAnsi="Times New Roman" w:cs="Times New Roman"/>
          <w:sz w:val="24"/>
          <w:szCs w:val="24"/>
        </w:rPr>
        <w:t>.</w:t>
      </w:r>
    </w:p>
    <w:p w14:paraId="231AAC24" w14:textId="51DC8DB3" w:rsidR="0078682F" w:rsidRPr="003F68DE" w:rsidRDefault="0078682F" w:rsidP="00BB6802">
      <w:pPr>
        <w:pStyle w:val="Default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Scientific Advisor for </w:t>
      </w:r>
      <w:hyperlink r:id="rId11" w:history="1">
        <w:r w:rsidRPr="003F68DE">
          <w:rPr>
            <w:rStyle w:val="Hyperlink"/>
            <w:rFonts w:ascii="Times New Roman" w:hAnsi="Times New Roman" w:cs="Times New Roman"/>
            <w:sz w:val="24"/>
            <w:szCs w:val="24"/>
          </w:rPr>
          <w:t>Aspen Laser Systems</w:t>
        </w:r>
      </w:hyperlink>
      <w:r w:rsidRPr="003F68DE">
        <w:rPr>
          <w:rFonts w:ascii="Times New Roman" w:hAnsi="Times New Roman" w:cs="Times New Roman"/>
          <w:sz w:val="24"/>
          <w:szCs w:val="24"/>
        </w:rPr>
        <w:t>, 2021- 2023 published meta-analysis &amp; case study using high-powered 30-watt 810nm laser photobiomodulation to effectively reverse prosopagnosia and eliminate seizures in a patient</w:t>
      </w:r>
      <w:r w:rsidR="00B1495C" w:rsidRPr="003F68DE">
        <w:rPr>
          <w:rFonts w:ascii="Times New Roman" w:hAnsi="Times New Roman" w:cs="Times New Roman"/>
          <w:sz w:val="24"/>
          <w:szCs w:val="24"/>
        </w:rPr>
        <w:t xml:space="preserve"> (</w:t>
      </w:r>
      <w:r w:rsidRPr="003F68DE">
        <w:rPr>
          <w:rFonts w:ascii="Times New Roman" w:hAnsi="Times New Roman" w:cs="Times New Roman"/>
          <w:sz w:val="24"/>
          <w:szCs w:val="24"/>
        </w:rPr>
        <w:t>published 2022</w:t>
      </w:r>
      <w:r w:rsidR="00B1495C" w:rsidRPr="003F68DE">
        <w:rPr>
          <w:rFonts w:ascii="Times New Roman" w:hAnsi="Times New Roman" w:cs="Times New Roman"/>
          <w:sz w:val="24"/>
          <w:szCs w:val="24"/>
        </w:rPr>
        <w:t>)</w:t>
      </w:r>
      <w:r w:rsidRPr="003F6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EEBCF" w14:textId="6DD30023" w:rsidR="0078335C" w:rsidRDefault="0078335C" w:rsidP="00BB6802">
      <w:pPr>
        <w:pStyle w:val="Default"/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ind w:left="360"/>
        <w:rPr>
          <w:rFonts w:ascii="Times New Roman" w:hAnsi="Times New Roman" w:cs="Times New Roman"/>
          <w:sz w:val="24"/>
          <w:szCs w:val="24"/>
        </w:rPr>
      </w:pPr>
    </w:p>
    <w:p w14:paraId="52B91F26" w14:textId="77777777" w:rsidR="00E20257" w:rsidRDefault="00E20257" w:rsidP="00BB6802">
      <w:pPr>
        <w:pStyle w:val="Default"/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ind w:left="360"/>
        <w:rPr>
          <w:rFonts w:ascii="Times New Roman" w:hAnsi="Times New Roman" w:cs="Times New Roman"/>
          <w:sz w:val="24"/>
          <w:szCs w:val="24"/>
        </w:rPr>
      </w:pPr>
    </w:p>
    <w:p w14:paraId="23B54655" w14:textId="1D84BABC" w:rsidR="0078335C" w:rsidRPr="00E927B3" w:rsidRDefault="00E927B3" w:rsidP="00E927B3">
      <w:pPr>
        <w:pStyle w:val="Default"/>
        <w:pBdr>
          <w:left w:val="none" w:sz="0" w:space="0" w:color="auto"/>
          <w:right w:val="none" w:sz="0" w:space="0" w:color="auto"/>
        </w:pBdr>
        <w:spacing w:after="1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EXPERIENCE CONTINUED</w:t>
      </w:r>
    </w:p>
    <w:p w14:paraId="07658270" w14:textId="10D94E01" w:rsidR="00575C2F" w:rsidRPr="004500D5" w:rsidRDefault="002C03F7" w:rsidP="00BB6802">
      <w:pPr>
        <w:pStyle w:val="Default"/>
        <w:numPr>
          <w:ilvl w:val="0"/>
          <w:numId w:val="2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White papers focused on high-throughput instrumentation platform assays towards optimal, accurate, and most reliable measures of HbA1c and androstenedione. </w:t>
      </w:r>
    </w:p>
    <w:p w14:paraId="0857F6DD" w14:textId="61299948" w:rsidR="000151A9" w:rsidRPr="003F68DE" w:rsidRDefault="000151A9" w:rsidP="00BB6802">
      <w:pPr>
        <w:pStyle w:val="Default"/>
        <w:numPr>
          <w:ilvl w:val="0"/>
          <w:numId w:val="2"/>
        </w:numPr>
        <w:pBdr>
          <w:left w:val="none" w:sz="0" w:space="0" w:color="auto"/>
          <w:right w:val="none" w:sz="0" w:space="0" w:color="auto"/>
        </w:pBdr>
        <w:tabs>
          <w:tab w:val="left" w:pos="36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Textbook chapters: </w:t>
      </w:r>
    </w:p>
    <w:p w14:paraId="31A62772" w14:textId="77777777" w:rsidR="000151A9" w:rsidRPr="003F68DE" w:rsidRDefault="000151A9" w:rsidP="00BB6802">
      <w:pPr>
        <w:pStyle w:val="Default"/>
        <w:numPr>
          <w:ilvl w:val="1"/>
          <w:numId w:val="2"/>
        </w:numPr>
        <w:pBdr>
          <w:left w:val="none" w:sz="0" w:space="0" w:color="auto"/>
          <w:right w:val="none" w:sz="0" w:space="0" w:color="auto"/>
        </w:pBdr>
        <w:tabs>
          <w:tab w:val="left" w:pos="720"/>
          <w:tab w:val="left" w:pos="1080"/>
        </w:tabs>
        <w:spacing w:afterLines="60" w:after="144"/>
        <w:ind w:hanging="288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Present Knowledge in Nutrition, Niacin and Biotin, </w:t>
      </w:r>
      <w:proofErr w:type="gramStart"/>
      <w:r w:rsidRPr="003F68DE">
        <w:rPr>
          <w:rFonts w:ascii="Times New Roman" w:hAnsi="Times New Roman" w:cs="Times New Roman"/>
          <w:sz w:val="24"/>
          <w:szCs w:val="24"/>
        </w:rPr>
        <w:t>10</w:t>
      </w:r>
      <w:r w:rsidRPr="003F68DE">
        <w:rPr>
          <w:rStyle w:val="None"/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3F68DE">
        <w:rPr>
          <w:rFonts w:ascii="Times New Roman" w:hAnsi="Times New Roman" w:cs="Times New Roman"/>
          <w:sz w:val="24"/>
          <w:szCs w:val="24"/>
        </w:rPr>
        <w:t xml:space="preserve"> and 11</w:t>
      </w:r>
      <w:r w:rsidRPr="003F68DE">
        <w:rPr>
          <w:rStyle w:val="None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68DE">
        <w:rPr>
          <w:rFonts w:ascii="Times New Roman" w:hAnsi="Times New Roman" w:cs="Times New Roman"/>
          <w:sz w:val="24"/>
          <w:szCs w:val="24"/>
          <w:lang w:val="it-IT"/>
        </w:rPr>
        <w:t xml:space="preserve"> eds.; 2020 &amp; 2012 </w:t>
      </w:r>
    </w:p>
    <w:p w14:paraId="4B0134EB" w14:textId="38896A22" w:rsidR="000151A9" w:rsidRPr="003F68DE" w:rsidRDefault="000151A9" w:rsidP="00BB6802">
      <w:pPr>
        <w:pStyle w:val="Default"/>
        <w:numPr>
          <w:ilvl w:val="1"/>
          <w:numId w:val="2"/>
        </w:numPr>
        <w:pBdr>
          <w:left w:val="none" w:sz="0" w:space="0" w:color="auto"/>
          <w:right w:val="none" w:sz="0" w:space="0" w:color="auto"/>
        </w:pBdr>
        <w:tabs>
          <w:tab w:val="left" w:pos="720"/>
          <w:tab w:val="left" w:pos="1080"/>
        </w:tabs>
        <w:spacing w:afterLines="60" w:after="144"/>
        <w:ind w:hanging="288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</w:rPr>
        <w:t xml:space="preserve">Biochemical, Physiological, and Molecular Aspects of Human Nutrition, Niacin, Riboflavin, and Thiamin, </w:t>
      </w:r>
      <w:proofErr w:type="gramStart"/>
      <w:r w:rsidRPr="003F68DE">
        <w:rPr>
          <w:rFonts w:ascii="Times New Roman" w:hAnsi="Times New Roman" w:cs="Times New Roman"/>
          <w:sz w:val="24"/>
          <w:szCs w:val="24"/>
        </w:rPr>
        <w:t>3</w:t>
      </w:r>
      <w:r w:rsidRPr="003F68DE">
        <w:rPr>
          <w:rStyle w:val="None"/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3F68DE">
        <w:rPr>
          <w:rFonts w:ascii="Times New Roman" w:hAnsi="Times New Roman" w:cs="Times New Roman"/>
          <w:sz w:val="24"/>
          <w:szCs w:val="24"/>
        </w:rPr>
        <w:t xml:space="preserve"> and 4</w:t>
      </w:r>
      <w:r w:rsidRPr="003F68DE">
        <w:rPr>
          <w:rStyle w:val="None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68DE">
        <w:rPr>
          <w:rFonts w:ascii="Times New Roman" w:hAnsi="Times New Roman" w:cs="Times New Roman"/>
          <w:sz w:val="24"/>
          <w:szCs w:val="24"/>
          <w:lang w:val="it-IT"/>
        </w:rPr>
        <w:t xml:space="preserve"> eds.; 2019 &amp; 2012</w:t>
      </w:r>
    </w:p>
    <w:p w14:paraId="0AB9734C" w14:textId="3F35FA54" w:rsidR="00FE7041" w:rsidRPr="003F68DE" w:rsidRDefault="00FE7041" w:rsidP="00BB6802">
      <w:pPr>
        <w:pStyle w:val="Default"/>
        <w:numPr>
          <w:ilvl w:val="0"/>
          <w:numId w:val="2"/>
        </w:numPr>
        <w:pBdr>
          <w:left w:val="none" w:sz="0" w:space="0" w:color="auto"/>
          <w:right w:val="none" w:sz="0" w:space="0" w:color="auto"/>
        </w:pBdr>
        <w:tabs>
          <w:tab w:val="left" w:pos="720"/>
          <w:tab w:val="left" w:pos="1080"/>
        </w:tabs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3F68DE">
        <w:rPr>
          <w:rFonts w:ascii="Times New Roman" w:hAnsi="Times New Roman" w:cs="Times New Roman"/>
          <w:sz w:val="24"/>
          <w:szCs w:val="24"/>
          <w:lang w:val="it-IT"/>
        </w:rPr>
        <w:t>Invited presentations: Mayo Clinic, Cleveland Clinic, panel participant (</w:t>
      </w:r>
      <w:r w:rsidR="00614002" w:rsidRPr="003F68DE">
        <w:rPr>
          <w:rFonts w:ascii="Times New Roman" w:hAnsi="Times New Roman" w:cs="Times New Roman"/>
          <w:sz w:val="24"/>
          <w:szCs w:val="24"/>
          <w:lang w:val="it-IT"/>
        </w:rPr>
        <w:t>PARP1 inhibitors for g</w:t>
      </w:r>
      <w:r w:rsidRPr="003F68DE">
        <w:rPr>
          <w:rFonts w:ascii="Times New Roman" w:hAnsi="Times New Roman" w:cs="Times New Roman"/>
          <w:sz w:val="24"/>
          <w:szCs w:val="24"/>
          <w:lang w:val="it-IT"/>
        </w:rPr>
        <w:t>lioblastoma</w:t>
      </w:r>
      <w:r w:rsidR="00614002" w:rsidRPr="003F68DE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="003F68DE" w:rsidRPr="003F68DE">
        <w:rPr>
          <w:rFonts w:ascii="Times New Roman" w:hAnsi="Times New Roman" w:cs="Times New Roman"/>
          <w:sz w:val="24"/>
          <w:szCs w:val="24"/>
          <w:lang w:val="it-IT"/>
        </w:rPr>
        <w:t>etc.</w:t>
      </w:r>
      <w:r w:rsidR="00614002" w:rsidRPr="003F68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7DB6928" w14:textId="77777777" w:rsidR="00D353C3" w:rsidRDefault="00D353C3">
      <w:pPr>
        <w:pStyle w:val="Default"/>
        <w:pBdr>
          <w:left w:val="none" w:sz="0" w:space="0" w:color="auto"/>
          <w:right w:val="none" w:sz="0" w:space="0" w:color="auto"/>
        </w:pBdr>
        <w:spacing w:after="160" w:line="276" w:lineRule="auto"/>
        <w:rPr>
          <w:rFonts w:ascii="Times New Roman" w:hAnsi="Times New Roman" w:cs="Times New Roman"/>
          <w:b/>
          <w:bCs/>
        </w:rPr>
      </w:pPr>
    </w:p>
    <w:p w14:paraId="2B1F17BF" w14:textId="69ADE223" w:rsidR="00D0690E" w:rsidRPr="003D61D1" w:rsidRDefault="00637CE5">
      <w:pPr>
        <w:pStyle w:val="Default"/>
        <w:pBdr>
          <w:left w:val="none" w:sz="0" w:space="0" w:color="auto"/>
          <w:right w:val="none" w:sz="0" w:space="0" w:color="auto"/>
        </w:pBdr>
        <w:spacing w:after="160" w:line="276" w:lineRule="auto"/>
        <w:rPr>
          <w:sz w:val="26"/>
          <w:szCs w:val="26"/>
        </w:rPr>
      </w:pPr>
      <w:r w:rsidRPr="003D61D1">
        <w:rPr>
          <w:rFonts w:ascii="Times New Roman" w:hAnsi="Times New Roman" w:cs="Times New Roman"/>
          <w:b/>
          <w:bCs/>
          <w:sz w:val="26"/>
          <w:szCs w:val="26"/>
        </w:rPr>
        <w:t>SELECT PUBLICATIONS</w:t>
      </w:r>
      <w:r w:rsidR="00EC6C76" w:rsidRPr="003D61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5E66">
        <w:rPr>
          <w:rFonts w:ascii="Times New Roman" w:hAnsi="Times New Roman" w:cs="Times New Roman"/>
          <w:b/>
          <w:bCs/>
          <w:sz w:val="26"/>
          <w:szCs w:val="26"/>
        </w:rPr>
        <w:t>≤</w:t>
      </w:r>
      <w:r w:rsidR="00361101" w:rsidRPr="003D61D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C6C76" w:rsidRPr="003D61D1">
        <w:rPr>
          <w:rFonts w:ascii="Times New Roman" w:hAnsi="Times New Roman" w:cs="Times New Roman"/>
          <w:b/>
          <w:bCs/>
          <w:sz w:val="26"/>
          <w:szCs w:val="26"/>
        </w:rPr>
        <w:t xml:space="preserve"> YEARS</w:t>
      </w:r>
      <w:r w:rsidR="00335E66">
        <w:rPr>
          <w:rFonts w:ascii="Times New Roman" w:hAnsi="Times New Roman" w:cs="Times New Roman"/>
          <w:b/>
          <w:bCs/>
          <w:sz w:val="26"/>
          <w:szCs w:val="26"/>
        </w:rPr>
        <w:t xml:space="preserve"> (more upon request)</w:t>
      </w:r>
      <w:r w:rsidR="00EC6C76" w:rsidRPr="003D61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11EFD2A" w14:textId="29AB4BB8" w:rsidR="00B53C9A" w:rsidRPr="00E20257" w:rsidRDefault="00E911D3" w:rsidP="001761AF">
      <w:pPr>
        <w:pStyle w:val="Default"/>
        <w:numPr>
          <w:ilvl w:val="0"/>
          <w:numId w:val="9"/>
        </w:numP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  <w:r w:rsidRPr="00E20257">
        <w:rPr>
          <w:rFonts w:ascii="Times New Roman" w:hAnsi="Times New Roman" w:cs="Times New Roman"/>
          <w:sz w:val="26"/>
          <w:szCs w:val="26"/>
        </w:rPr>
        <w:t xml:space="preserve">Hedaya R,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Lubar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J. </w:t>
      </w:r>
      <w:hyperlink r:id="rId12" w:history="1">
        <w:r w:rsidRPr="00E20257">
          <w:rPr>
            <w:rStyle w:val="Hyperlink"/>
            <w:rFonts w:ascii="Times New Roman" w:hAnsi="Times New Roman" w:cs="Times New Roman"/>
            <w:sz w:val="26"/>
            <w:szCs w:val="26"/>
          </w:rPr>
          <w:t>Reversal of Acquired Prosopagnosia Using Quantitative Electroencephalography-Guided Laser Therapy</w:t>
        </w:r>
      </w:hyperlink>
      <w:r w:rsidRPr="00E202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20257">
        <w:rPr>
          <w:rFonts w:ascii="Times New Roman" w:hAnsi="Times New Roman" w:cs="Times New Roman"/>
          <w:i/>
          <w:iCs/>
          <w:sz w:val="26"/>
          <w:szCs w:val="26"/>
        </w:rPr>
        <w:t>Photobiomodul</w:t>
      </w:r>
      <w:proofErr w:type="spellEnd"/>
      <w:r w:rsidRPr="00E2025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20257">
        <w:rPr>
          <w:rFonts w:ascii="Times New Roman" w:hAnsi="Times New Roman" w:cs="Times New Roman"/>
          <w:i/>
          <w:iCs/>
          <w:sz w:val="26"/>
          <w:szCs w:val="26"/>
        </w:rPr>
        <w:t>Photomed</w:t>
      </w:r>
      <w:proofErr w:type="spellEnd"/>
      <w:r w:rsidRPr="00E20257">
        <w:rPr>
          <w:rFonts w:ascii="Times New Roman" w:hAnsi="Times New Roman" w:cs="Times New Roman"/>
          <w:i/>
          <w:iCs/>
          <w:sz w:val="26"/>
          <w:szCs w:val="26"/>
        </w:rPr>
        <w:t xml:space="preserve"> Laser Surg</w:t>
      </w:r>
      <w:r w:rsidRPr="00E20257">
        <w:rPr>
          <w:rFonts w:ascii="Times New Roman" w:hAnsi="Times New Roman" w:cs="Times New Roman"/>
          <w:sz w:val="26"/>
          <w:szCs w:val="26"/>
        </w:rPr>
        <w:t xml:space="preserve"> 2022.  </w:t>
      </w:r>
    </w:p>
    <w:p w14:paraId="3A8E549D" w14:textId="455E000E" w:rsidR="00FD1F19" w:rsidRPr="00E20257" w:rsidRDefault="00F13CA8" w:rsidP="001761AF">
      <w:pPr>
        <w:pStyle w:val="Default"/>
        <w:numPr>
          <w:ilvl w:val="0"/>
          <w:numId w:val="9"/>
        </w:numP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  <w:r w:rsidRPr="007C4C41">
        <w:rPr>
          <w:rFonts w:ascii="Times New Roman" w:hAnsi="Times New Roman" w:cs="Times New Roman"/>
          <w:b/>
          <w:bCs/>
          <w:sz w:val="26"/>
          <w:szCs w:val="26"/>
        </w:rPr>
        <w:t xml:space="preserve">Penberthy, W. </w:t>
      </w:r>
      <w:proofErr w:type="gramStart"/>
      <w:r w:rsidRPr="007C4C41">
        <w:rPr>
          <w:rFonts w:ascii="Times New Roman" w:hAnsi="Times New Roman" w:cs="Times New Roman"/>
          <w:b/>
          <w:bCs/>
          <w:sz w:val="26"/>
          <w:szCs w:val="26"/>
        </w:rPr>
        <w:t>Todd</w:t>
      </w:r>
      <w:proofErr w:type="gramEnd"/>
      <w:r w:rsidRPr="00E20257">
        <w:rPr>
          <w:rFonts w:ascii="Times New Roman" w:hAnsi="Times New Roman" w:cs="Times New Roman"/>
          <w:sz w:val="26"/>
          <w:szCs w:val="26"/>
        </w:rPr>
        <w:t xml:space="preserve"> and Charles Vorwal</w:t>
      </w:r>
      <w:r w:rsidR="00EE4175" w:rsidRPr="00E20257">
        <w:rPr>
          <w:rFonts w:ascii="Times New Roman" w:hAnsi="Times New Roman" w:cs="Times New Roman"/>
          <w:sz w:val="26"/>
          <w:szCs w:val="26"/>
        </w:rPr>
        <w:t>l</w:t>
      </w:r>
      <w:r w:rsidRPr="00E20257">
        <w:rPr>
          <w:rFonts w:ascii="Times New Roman" w:hAnsi="Times New Roman" w:cs="Times New Roman"/>
          <w:sz w:val="26"/>
          <w:szCs w:val="26"/>
        </w:rPr>
        <w:t xml:space="preserve">er. </w:t>
      </w:r>
      <w:r w:rsidR="00425CDD" w:rsidRPr="00E20257">
        <w:rPr>
          <w:rFonts w:ascii="Times New Roman" w:hAnsi="Times New Roman" w:cs="Times New Roman"/>
          <w:sz w:val="26"/>
          <w:szCs w:val="26"/>
        </w:rPr>
        <w:t>(2022)</w:t>
      </w:r>
      <w:r w:rsidR="00EE4175" w:rsidRPr="00E20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3" w:history="1">
        <w:r w:rsidR="00EE4175" w:rsidRPr="00E20257">
          <w:rPr>
            <w:rStyle w:val="Hyperlink"/>
            <w:rFonts w:ascii="Times New Roman" w:hAnsi="Times New Roman" w:cs="Times New Roman"/>
            <w:sz w:val="26"/>
            <w:szCs w:val="26"/>
          </w:rPr>
          <w:t>Utilization of the 1064 nm Wavelength in Photobiomodulation: A Systematic Review and Meta-Analysis</w:t>
        </w:r>
      </w:hyperlink>
      <w:r w:rsidR="00CB0EEB" w:rsidRPr="00E20257">
        <w:rPr>
          <w:rFonts w:ascii="Times New Roman" w:hAnsi="Times New Roman" w:cs="Times New Roman"/>
          <w:sz w:val="26"/>
          <w:szCs w:val="26"/>
        </w:rPr>
        <w:t xml:space="preserve">. </w:t>
      </w:r>
      <w:r w:rsidR="00CB0EEB" w:rsidRPr="00E20257">
        <w:rPr>
          <w:rFonts w:ascii="Times New Roman" w:hAnsi="Times New Roman" w:cs="Times New Roman"/>
          <w:i/>
          <w:iCs/>
          <w:sz w:val="26"/>
          <w:szCs w:val="26"/>
        </w:rPr>
        <w:t>Journal of Lasers in Medical Sciences</w:t>
      </w:r>
      <w:r w:rsidR="00CB0EEB" w:rsidRPr="00E2025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8A1A7C" w:rsidRPr="00E20257">
        <w:rPr>
          <w:rFonts w:ascii="Times New Roman" w:hAnsi="Times New Roman" w:cs="Times New Roman"/>
          <w:sz w:val="26"/>
          <w:szCs w:val="26"/>
        </w:rPr>
        <w:t>12:e</w:t>
      </w:r>
      <w:proofErr w:type="gramEnd"/>
      <w:r w:rsidR="008A1A7C" w:rsidRPr="00E20257">
        <w:rPr>
          <w:rFonts w:ascii="Times New Roman" w:hAnsi="Times New Roman" w:cs="Times New Roman"/>
          <w:sz w:val="26"/>
          <w:szCs w:val="26"/>
        </w:rPr>
        <w:t>86.</w:t>
      </w:r>
    </w:p>
    <w:p w14:paraId="64C7FDA2" w14:textId="01035DF6" w:rsidR="00715968" w:rsidRPr="00E20257" w:rsidRDefault="00715968" w:rsidP="001761AF">
      <w:pPr>
        <w:pStyle w:val="Default"/>
        <w:numPr>
          <w:ilvl w:val="0"/>
          <w:numId w:val="9"/>
        </w:numP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  <w:r w:rsidRPr="00E20257">
        <w:rPr>
          <w:rFonts w:ascii="Times New Roman" w:hAnsi="Times New Roman" w:cs="Times New Roman"/>
          <w:sz w:val="26"/>
          <w:szCs w:val="26"/>
        </w:rPr>
        <w:t xml:space="preserve">Vucic S, Kiernan MC, Menon P, Huynh W,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Rynders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A, Ho KS, et al. </w:t>
      </w:r>
      <w:hyperlink r:id="rId14" w:history="1">
        <w:r w:rsidRPr="00E20257">
          <w:rPr>
            <w:rStyle w:val="Hyperlink"/>
            <w:rFonts w:ascii="Times New Roman" w:hAnsi="Times New Roman" w:cs="Times New Roman"/>
            <w:sz w:val="26"/>
            <w:szCs w:val="26"/>
          </w:rPr>
          <w:t>Study protocol of RESCUE-ALS: A Phase 2, randomi</w:t>
        </w:r>
        <w:r w:rsidR="004C544E" w:rsidRPr="00E20257">
          <w:rPr>
            <w:rStyle w:val="Hyperlink"/>
            <w:rFonts w:ascii="Times New Roman" w:hAnsi="Times New Roman" w:cs="Times New Roman"/>
            <w:sz w:val="26"/>
            <w:szCs w:val="26"/>
          </w:rPr>
          <w:t>z</w:t>
        </w:r>
        <w:r w:rsidRPr="00E20257">
          <w:rPr>
            <w:rStyle w:val="Hyperlink"/>
            <w:rFonts w:ascii="Times New Roman" w:hAnsi="Times New Roman" w:cs="Times New Roman"/>
            <w:sz w:val="26"/>
            <w:szCs w:val="26"/>
          </w:rPr>
          <w:t>ed, double-blind, placebo-controlled study in early symptomatic amyotrophic lateral sclerosis patients to assess bioenergetic catalysis with CNM-Au8 as a mechanism to slow disease progression</w:t>
        </w:r>
      </w:hyperlink>
      <w:r w:rsidRPr="00E20257">
        <w:rPr>
          <w:rFonts w:ascii="Times New Roman" w:hAnsi="Times New Roman" w:cs="Times New Roman"/>
          <w:sz w:val="26"/>
          <w:szCs w:val="26"/>
        </w:rPr>
        <w:t xml:space="preserve">. </w:t>
      </w:r>
      <w:r w:rsidRPr="00E20257">
        <w:rPr>
          <w:rFonts w:ascii="Times New Roman" w:hAnsi="Times New Roman" w:cs="Times New Roman"/>
          <w:i/>
          <w:iCs/>
          <w:sz w:val="26"/>
          <w:szCs w:val="26"/>
        </w:rPr>
        <w:t>BMJ Open</w:t>
      </w:r>
      <w:r w:rsidRPr="00E20257">
        <w:rPr>
          <w:rFonts w:ascii="Times New Roman" w:hAnsi="Times New Roman" w:cs="Times New Roman"/>
          <w:sz w:val="26"/>
          <w:szCs w:val="26"/>
        </w:rPr>
        <w:t xml:space="preserve"> 2021;</w:t>
      </w:r>
      <w:proofErr w:type="gramStart"/>
      <w:r w:rsidRPr="00E20257">
        <w:rPr>
          <w:rFonts w:ascii="Times New Roman" w:hAnsi="Times New Roman" w:cs="Times New Roman"/>
          <w:sz w:val="26"/>
          <w:szCs w:val="26"/>
        </w:rPr>
        <w:t>11:e</w:t>
      </w:r>
      <w:proofErr w:type="gramEnd"/>
      <w:r w:rsidRPr="00E20257">
        <w:rPr>
          <w:rFonts w:ascii="Times New Roman" w:hAnsi="Times New Roman" w:cs="Times New Roman"/>
          <w:sz w:val="26"/>
          <w:szCs w:val="26"/>
        </w:rPr>
        <w:t xml:space="preserve">041479. </w:t>
      </w:r>
    </w:p>
    <w:p w14:paraId="18ABD051" w14:textId="0EAD826E" w:rsidR="00D0690E" w:rsidRPr="008E2D78" w:rsidRDefault="00637CE5" w:rsidP="001761AF">
      <w:pPr>
        <w:pStyle w:val="Default"/>
        <w:numPr>
          <w:ilvl w:val="0"/>
          <w:numId w:val="10"/>
        </w:numPr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="140" w:line="276" w:lineRule="auto"/>
        <w:rPr>
          <w:sz w:val="26"/>
          <w:szCs w:val="26"/>
        </w:rPr>
      </w:pPr>
      <w:r w:rsidRPr="007C4C41">
        <w:rPr>
          <w:rFonts w:ascii="Times New Roman" w:hAnsi="Times New Roman" w:cs="Times New Roman"/>
          <w:b/>
          <w:bCs/>
          <w:sz w:val="26"/>
          <w:szCs w:val="26"/>
        </w:rPr>
        <w:t xml:space="preserve">Penberthy, W. </w:t>
      </w:r>
      <w:proofErr w:type="gramStart"/>
      <w:r w:rsidRPr="007C4C41">
        <w:rPr>
          <w:rFonts w:ascii="Times New Roman" w:hAnsi="Times New Roman" w:cs="Times New Roman"/>
          <w:b/>
          <w:bCs/>
          <w:sz w:val="26"/>
          <w:szCs w:val="26"/>
        </w:rPr>
        <w:t>Todd</w:t>
      </w:r>
      <w:proofErr w:type="gramEnd"/>
      <w:r w:rsidRPr="00E20257">
        <w:rPr>
          <w:rFonts w:ascii="Times New Roman" w:hAnsi="Times New Roman" w:cs="Times New Roman"/>
          <w:sz w:val="26"/>
          <w:szCs w:val="26"/>
        </w:rPr>
        <w:t xml:space="preserve"> and James B. Kirkland. Niacin (2020) in Present Knowledge in Nutrition. 11</w:t>
      </w:r>
      <w:r w:rsidRPr="00E20257">
        <w:rPr>
          <w:rStyle w:val="None"/>
          <w:rFonts w:ascii="Times New Roman" w:hAnsi="Times New Roman" w:cs="Times New Roman"/>
          <w:sz w:val="26"/>
          <w:szCs w:val="26"/>
          <w:vertAlign w:val="superscript"/>
        </w:rPr>
        <w:t>th</w:t>
      </w:r>
      <w:r w:rsidR="003F68DE" w:rsidRPr="00E20257">
        <w:rPr>
          <w:rFonts w:ascii="Times New Roman" w:hAnsi="Times New Roman" w:cs="Times New Roman"/>
          <w:sz w:val="26"/>
          <w:szCs w:val="26"/>
        </w:rPr>
        <w:t> </w:t>
      </w:r>
      <w:r w:rsidRPr="00E20257">
        <w:rPr>
          <w:rFonts w:ascii="Times New Roman" w:hAnsi="Times New Roman" w:cs="Times New Roman"/>
          <w:sz w:val="26"/>
          <w:szCs w:val="26"/>
        </w:rPr>
        <w:t xml:space="preserve">ed., Elsevier, St. Louis, Mo. Edited by Diane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Birt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and Allison Worden.</w:t>
      </w:r>
    </w:p>
    <w:p w14:paraId="677958C3" w14:textId="77777777" w:rsidR="008E2D78" w:rsidRPr="00E20257" w:rsidRDefault="008E2D78" w:rsidP="008E2D78">
      <w:pPr>
        <w:pStyle w:val="Default"/>
        <w:numPr>
          <w:ilvl w:val="0"/>
          <w:numId w:val="10"/>
        </w:numPr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  <w:r w:rsidRPr="007C4C41">
        <w:rPr>
          <w:rFonts w:ascii="Times New Roman" w:hAnsi="Times New Roman" w:cs="Times New Roman"/>
          <w:b/>
          <w:bCs/>
          <w:sz w:val="26"/>
          <w:szCs w:val="26"/>
        </w:rPr>
        <w:t>Penberthy, W. Todd</w:t>
      </w:r>
      <w:r w:rsidRPr="00E202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Mahrou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Sadri and Janos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Zempleni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>. Biotin (2020) in Present Knowledge in Nutrition. 11</w:t>
      </w:r>
      <w:r w:rsidRPr="00E20257">
        <w:rPr>
          <w:rStyle w:val="None"/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20257">
        <w:rPr>
          <w:rFonts w:ascii="Times New Roman" w:hAnsi="Times New Roman" w:cs="Times New Roman"/>
          <w:sz w:val="26"/>
          <w:szCs w:val="26"/>
        </w:rPr>
        <w:t xml:space="preserve"> ed., Elsevier, St. Louis, Mo. Edited by Diane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Birt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and Allison Worden.</w:t>
      </w:r>
    </w:p>
    <w:p w14:paraId="31716D42" w14:textId="77777777" w:rsidR="008E2D78" w:rsidRPr="00E20257" w:rsidRDefault="008E2D78" w:rsidP="008E2D78">
      <w:pPr>
        <w:pStyle w:val="Default"/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="140" w:line="276" w:lineRule="auto"/>
        <w:rPr>
          <w:sz w:val="26"/>
          <w:szCs w:val="26"/>
        </w:rPr>
      </w:pPr>
    </w:p>
    <w:p w14:paraId="57127824" w14:textId="7A97EDB1" w:rsidR="0000286B" w:rsidRDefault="0000286B" w:rsidP="0000286B">
      <w:pPr>
        <w:pStyle w:val="Default"/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</w:p>
    <w:p w14:paraId="31869FBB" w14:textId="14AA894D" w:rsidR="0000286B" w:rsidRDefault="0000286B" w:rsidP="0000286B">
      <w:pPr>
        <w:pStyle w:val="Default"/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</w:p>
    <w:p w14:paraId="6D620392" w14:textId="2545B2C3" w:rsidR="0000286B" w:rsidRDefault="0000286B" w:rsidP="0000286B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E20257">
        <w:rPr>
          <w:rFonts w:ascii="Times New Roman" w:hAnsi="Times New Roman" w:cs="Times New Roman"/>
          <w:b/>
          <w:bCs/>
          <w:sz w:val="26"/>
          <w:szCs w:val="26"/>
        </w:rPr>
        <w:t>SELECT PUBLICATIONS ≤4 YEARS (more upon request) cont.</w:t>
      </w:r>
    </w:p>
    <w:p w14:paraId="7DE79C02" w14:textId="77777777" w:rsidR="0000286B" w:rsidRPr="0000286B" w:rsidRDefault="0000286B" w:rsidP="0000286B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63D45460" w14:textId="1E5FAA3C" w:rsidR="001761AF" w:rsidRPr="00E20257" w:rsidRDefault="00637CE5" w:rsidP="001761AF">
      <w:pPr>
        <w:pStyle w:val="Default"/>
        <w:numPr>
          <w:ilvl w:val="0"/>
          <w:numId w:val="10"/>
        </w:numPr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  <w:r w:rsidRPr="007C4C41">
        <w:rPr>
          <w:rFonts w:ascii="Times New Roman" w:hAnsi="Times New Roman" w:cs="Times New Roman"/>
          <w:b/>
          <w:bCs/>
          <w:sz w:val="26"/>
          <w:szCs w:val="26"/>
        </w:rPr>
        <w:t>Penberthy, W. Todd</w:t>
      </w:r>
      <w:r w:rsidRPr="00E202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Mahrou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Sadri and Janos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Zempleni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>. Biotin (2020) in Present Knowledge in Nutrition. 11</w:t>
      </w:r>
      <w:r w:rsidRPr="00E20257">
        <w:rPr>
          <w:rStyle w:val="None"/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20257">
        <w:rPr>
          <w:rFonts w:ascii="Times New Roman" w:hAnsi="Times New Roman" w:cs="Times New Roman"/>
          <w:sz w:val="26"/>
          <w:szCs w:val="26"/>
        </w:rPr>
        <w:t xml:space="preserve"> ed., Elsevier, St. Louis, Mo. Edited by Diane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Birt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and Allison Worden.</w:t>
      </w:r>
    </w:p>
    <w:p w14:paraId="497F4BB4" w14:textId="268D8623" w:rsidR="00E20257" w:rsidRPr="0000286B" w:rsidRDefault="00F4285F" w:rsidP="00E20257">
      <w:pPr>
        <w:pStyle w:val="Default"/>
        <w:numPr>
          <w:ilvl w:val="0"/>
          <w:numId w:val="10"/>
        </w:numPr>
        <w:pBdr>
          <w:left w:val="none" w:sz="0" w:space="0" w:color="auto"/>
          <w:right w:val="none" w:sz="0" w:space="0" w:color="auto"/>
        </w:pBdr>
        <w:tabs>
          <w:tab w:val="left" w:pos="330"/>
        </w:tabs>
        <w:spacing w:after="140" w:line="276" w:lineRule="auto"/>
        <w:rPr>
          <w:rFonts w:ascii="Times New Roman" w:hAnsi="Times New Roman" w:cs="Times New Roman"/>
          <w:sz w:val="26"/>
          <w:szCs w:val="26"/>
        </w:rPr>
      </w:pPr>
      <w:r w:rsidRPr="007C4C41">
        <w:rPr>
          <w:rFonts w:ascii="Times New Roman" w:hAnsi="Times New Roman" w:cs="Times New Roman"/>
          <w:b/>
          <w:bCs/>
          <w:sz w:val="26"/>
          <w:szCs w:val="26"/>
        </w:rPr>
        <w:t>Penberthy, W. Todd</w:t>
      </w:r>
      <w:r w:rsidRPr="00E20257">
        <w:rPr>
          <w:rFonts w:ascii="Times New Roman" w:hAnsi="Times New Roman" w:cs="Times New Roman"/>
          <w:sz w:val="26"/>
          <w:szCs w:val="26"/>
        </w:rPr>
        <w:t>. Niacin, Riboflavin, and Thiamine (2019) in Biochemical, Physiological, and Molecular Aspects of Human Nutrition. 4</w:t>
      </w:r>
      <w:r w:rsidRPr="00E20257">
        <w:rPr>
          <w:rStyle w:val="None"/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E20257">
        <w:rPr>
          <w:rFonts w:ascii="Times New Roman" w:hAnsi="Times New Roman" w:cs="Times New Roman"/>
          <w:sz w:val="26"/>
          <w:szCs w:val="26"/>
        </w:rPr>
        <w:t xml:space="preserve"> ed., Elsevier, St. Louis, Mo. Edited by Marie A. </w:t>
      </w:r>
      <w:proofErr w:type="gramStart"/>
      <w:r w:rsidRPr="00E20257">
        <w:rPr>
          <w:rFonts w:ascii="Times New Roman" w:hAnsi="Times New Roman" w:cs="Times New Roman"/>
          <w:sz w:val="26"/>
          <w:szCs w:val="26"/>
        </w:rPr>
        <w:t>Caudill</w:t>
      </w:r>
      <w:proofErr w:type="gramEnd"/>
      <w:r w:rsidRPr="00E20257">
        <w:rPr>
          <w:rFonts w:ascii="Times New Roman" w:hAnsi="Times New Roman" w:cs="Times New Roman"/>
          <w:sz w:val="26"/>
          <w:szCs w:val="26"/>
        </w:rPr>
        <w:t xml:space="preserve"> and Martha H.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Stipanuk</w:t>
      </w:r>
      <w:proofErr w:type="spellEnd"/>
      <w:r w:rsidR="003F68DE" w:rsidRPr="00E20257">
        <w:rPr>
          <w:rFonts w:ascii="Times New Roman" w:hAnsi="Times New Roman" w:cs="Times New Roman"/>
          <w:sz w:val="26"/>
          <w:szCs w:val="26"/>
        </w:rPr>
        <w:t>.</w:t>
      </w:r>
    </w:p>
    <w:p w14:paraId="398D59C9" w14:textId="77777777" w:rsidR="00015ACF" w:rsidRPr="00015ACF" w:rsidRDefault="00015ACF" w:rsidP="00E20257">
      <w:pPr>
        <w:pStyle w:val="Default"/>
        <w:numPr>
          <w:ilvl w:val="0"/>
          <w:numId w:val="10"/>
        </w:numPr>
        <w:tabs>
          <w:tab w:val="left" w:pos="330"/>
        </w:tabs>
        <w:spacing w:afterLines="120" w:after="288"/>
        <w:ind w:left="331"/>
        <w:rPr>
          <w:rFonts w:ascii="Times New Roman" w:hAnsi="Times New Roman" w:cs="Times New Roman"/>
          <w:bCs/>
          <w:sz w:val="26"/>
          <w:szCs w:val="26"/>
        </w:rPr>
      </w:pPr>
      <w:r w:rsidRPr="00015ACF">
        <w:rPr>
          <w:rFonts w:ascii="Times New Roman" w:hAnsi="Times New Roman" w:cs="Times New Roman"/>
          <w:bCs/>
          <w:sz w:val="26"/>
          <w:szCs w:val="26"/>
        </w:rPr>
        <w:t xml:space="preserve">Penberthy, W. Todd (2009). </w:t>
      </w:r>
      <w:hyperlink r:id="rId15" w:history="1">
        <w:r w:rsidRPr="00015AC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Nicotinic Acid-Mediated Activation of Both Membrane and Nuclear Receptors Towards Therapeutic Glucocorticoid Mimetics for Potential Treatment of Multiple Sclerosis</w:t>
        </w:r>
      </w:hyperlink>
      <w:r w:rsidRPr="00015ACF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>PPAR Research</w:t>
      </w:r>
      <w:r w:rsidRPr="00015ACF">
        <w:rPr>
          <w:rFonts w:ascii="Times New Roman" w:hAnsi="Times New Roman" w:cs="Times New Roman"/>
          <w:bCs/>
          <w:sz w:val="26"/>
          <w:szCs w:val="26"/>
        </w:rPr>
        <w:t xml:space="preserve"> 853707-.</w:t>
      </w:r>
    </w:p>
    <w:p w14:paraId="7EBA355A" w14:textId="77777777" w:rsidR="00015ACF" w:rsidRPr="00015ACF" w:rsidRDefault="00015ACF" w:rsidP="00E20257">
      <w:pPr>
        <w:pStyle w:val="Default"/>
        <w:numPr>
          <w:ilvl w:val="0"/>
          <w:numId w:val="10"/>
        </w:numPr>
        <w:tabs>
          <w:tab w:val="left" w:pos="330"/>
        </w:tabs>
        <w:spacing w:afterLines="120" w:after="288"/>
        <w:ind w:left="331"/>
        <w:rPr>
          <w:rFonts w:ascii="Times New Roman" w:hAnsi="Times New Roman" w:cs="Times New Roman"/>
          <w:bCs/>
          <w:sz w:val="26"/>
          <w:szCs w:val="26"/>
        </w:rPr>
      </w:pPr>
      <w:r w:rsidRPr="00015ACF">
        <w:rPr>
          <w:rFonts w:ascii="Times New Roman" w:hAnsi="Times New Roman" w:cs="Times New Roman"/>
          <w:bCs/>
          <w:sz w:val="26"/>
          <w:szCs w:val="26"/>
        </w:rPr>
        <w:t>Penberthy, W. Todd (guest executive editor) Current Pharmaceutical Design, 2009. Developed theme, coordinated authors / reviewers, and provided oversight to completion. Theme: NAD Biology in Disease.</w:t>
      </w:r>
    </w:p>
    <w:p w14:paraId="489DCCE2" w14:textId="77777777" w:rsidR="00015ACF" w:rsidRPr="00015ACF" w:rsidRDefault="00015ACF" w:rsidP="00E20257">
      <w:pPr>
        <w:pStyle w:val="Default"/>
        <w:numPr>
          <w:ilvl w:val="0"/>
          <w:numId w:val="10"/>
        </w:numPr>
        <w:tabs>
          <w:tab w:val="left" w:pos="330"/>
        </w:tabs>
        <w:spacing w:afterLines="120" w:after="288"/>
        <w:ind w:left="331"/>
        <w:rPr>
          <w:rFonts w:ascii="Times New Roman" w:hAnsi="Times New Roman" w:cs="Times New Roman"/>
          <w:bCs/>
          <w:sz w:val="26"/>
          <w:szCs w:val="26"/>
        </w:rPr>
      </w:pPr>
      <w:r w:rsidRPr="00015ACF">
        <w:rPr>
          <w:rFonts w:ascii="Times New Roman" w:hAnsi="Times New Roman" w:cs="Times New Roman"/>
          <w:bCs/>
          <w:sz w:val="26"/>
          <w:szCs w:val="26"/>
        </w:rPr>
        <w:t xml:space="preserve">Penberthy, W. Todd &amp; </w:t>
      </w:r>
      <w:proofErr w:type="spellStart"/>
      <w:r w:rsidRPr="00015ACF">
        <w:rPr>
          <w:rFonts w:ascii="Times New Roman" w:hAnsi="Times New Roman" w:cs="Times New Roman"/>
          <w:bCs/>
          <w:sz w:val="26"/>
          <w:szCs w:val="26"/>
        </w:rPr>
        <w:t>Tsunoda</w:t>
      </w:r>
      <w:proofErr w:type="spellEnd"/>
      <w:r w:rsidRPr="00015ACF">
        <w:rPr>
          <w:rFonts w:ascii="Times New Roman" w:hAnsi="Times New Roman" w:cs="Times New Roman"/>
          <w:bCs/>
          <w:sz w:val="26"/>
          <w:szCs w:val="26"/>
        </w:rPr>
        <w:t xml:space="preserve">, I. (2009). </w:t>
      </w:r>
      <w:hyperlink r:id="rId16" w:history="1">
        <w:r w:rsidRPr="00015AC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The Importance of NAD in Multiple Sclerosis</w:t>
        </w:r>
      </w:hyperlink>
      <w:r w:rsidRPr="00015A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>Current Pharmaceutical Design</w:t>
      </w:r>
      <w:r w:rsidRPr="00015ACF">
        <w:rPr>
          <w:rFonts w:ascii="Times New Roman" w:hAnsi="Times New Roman" w:cs="Times New Roman"/>
          <w:bCs/>
          <w:sz w:val="26"/>
          <w:szCs w:val="26"/>
        </w:rPr>
        <w:t>. 2009; 15(1): 64-99.</w:t>
      </w:r>
    </w:p>
    <w:p w14:paraId="68C9D86F" w14:textId="77777777" w:rsidR="00015ACF" w:rsidRPr="00015ACF" w:rsidRDefault="00015ACF" w:rsidP="00E20257">
      <w:pPr>
        <w:pStyle w:val="Default"/>
        <w:numPr>
          <w:ilvl w:val="0"/>
          <w:numId w:val="10"/>
        </w:numPr>
        <w:tabs>
          <w:tab w:val="left" w:pos="330"/>
        </w:tabs>
        <w:spacing w:afterLines="120" w:after="288"/>
        <w:ind w:left="331"/>
        <w:rPr>
          <w:rFonts w:ascii="Times New Roman" w:hAnsi="Times New Roman" w:cs="Times New Roman"/>
          <w:bCs/>
          <w:sz w:val="26"/>
          <w:szCs w:val="26"/>
        </w:rPr>
      </w:pPr>
      <w:r w:rsidRPr="00015ACF">
        <w:rPr>
          <w:rFonts w:ascii="Times New Roman" w:hAnsi="Times New Roman" w:cs="Times New Roman"/>
          <w:bCs/>
          <w:sz w:val="26"/>
          <w:szCs w:val="26"/>
        </w:rPr>
        <w:t xml:space="preserve">Penberthy, W. Todd (2009). </w:t>
      </w:r>
      <w:hyperlink r:id="rId17" w:history="1">
        <w:r w:rsidRPr="00015AC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Nicotinamide Biology and Disease</w:t>
        </w:r>
      </w:hyperlink>
      <w:r w:rsidRPr="00015AC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>Current Pharmaceutical Design</w:t>
      </w:r>
      <w:r w:rsidRPr="00015ACF">
        <w:rPr>
          <w:rFonts w:ascii="Times New Roman" w:hAnsi="Times New Roman" w:cs="Times New Roman"/>
          <w:bCs/>
          <w:sz w:val="26"/>
          <w:szCs w:val="26"/>
        </w:rPr>
        <w:t>;15(1): 1-2.</w:t>
      </w:r>
    </w:p>
    <w:p w14:paraId="22810E77" w14:textId="77777777" w:rsidR="00015ACF" w:rsidRPr="00015ACF" w:rsidRDefault="00015ACF" w:rsidP="00E20257">
      <w:pPr>
        <w:pStyle w:val="Default"/>
        <w:numPr>
          <w:ilvl w:val="0"/>
          <w:numId w:val="10"/>
        </w:numPr>
        <w:tabs>
          <w:tab w:val="left" w:pos="330"/>
        </w:tabs>
        <w:spacing w:afterLines="120" w:after="288"/>
        <w:ind w:left="331"/>
        <w:rPr>
          <w:rFonts w:ascii="Times New Roman" w:hAnsi="Times New Roman" w:cs="Times New Roman"/>
          <w:bCs/>
          <w:sz w:val="26"/>
          <w:szCs w:val="26"/>
        </w:rPr>
      </w:pPr>
      <w:r w:rsidRPr="00015ACF">
        <w:rPr>
          <w:rFonts w:ascii="Times New Roman" w:hAnsi="Times New Roman" w:cs="Times New Roman"/>
          <w:bCs/>
          <w:sz w:val="26"/>
          <w:szCs w:val="26"/>
        </w:rPr>
        <w:t xml:space="preserve">Jones KS, </w:t>
      </w:r>
      <w:proofErr w:type="spellStart"/>
      <w:r w:rsidRPr="00015ACF">
        <w:rPr>
          <w:rFonts w:ascii="Times New Roman" w:hAnsi="Times New Roman" w:cs="Times New Roman"/>
          <w:bCs/>
          <w:sz w:val="26"/>
          <w:szCs w:val="26"/>
        </w:rPr>
        <w:t>Alimov</w:t>
      </w:r>
      <w:proofErr w:type="spellEnd"/>
      <w:r w:rsidRPr="00015ACF">
        <w:rPr>
          <w:rFonts w:ascii="Times New Roman" w:hAnsi="Times New Roman" w:cs="Times New Roman"/>
          <w:bCs/>
          <w:sz w:val="26"/>
          <w:szCs w:val="26"/>
        </w:rPr>
        <w:t xml:space="preserve"> AP, </w:t>
      </w:r>
      <w:proofErr w:type="spellStart"/>
      <w:r w:rsidRPr="00015ACF">
        <w:rPr>
          <w:rFonts w:ascii="Times New Roman" w:hAnsi="Times New Roman" w:cs="Times New Roman"/>
          <w:bCs/>
          <w:sz w:val="26"/>
          <w:szCs w:val="26"/>
        </w:rPr>
        <w:t>Rilo</w:t>
      </w:r>
      <w:proofErr w:type="spellEnd"/>
      <w:r w:rsidRPr="00015ACF">
        <w:rPr>
          <w:rFonts w:ascii="Times New Roman" w:hAnsi="Times New Roman" w:cs="Times New Roman"/>
          <w:bCs/>
          <w:sz w:val="26"/>
          <w:szCs w:val="26"/>
        </w:rPr>
        <w:t xml:space="preserve"> HL, </w:t>
      </w:r>
      <w:proofErr w:type="spellStart"/>
      <w:r w:rsidRPr="00015ACF">
        <w:rPr>
          <w:rFonts w:ascii="Times New Roman" w:hAnsi="Times New Roman" w:cs="Times New Roman"/>
          <w:bCs/>
          <w:sz w:val="26"/>
          <w:szCs w:val="26"/>
        </w:rPr>
        <w:t>Jandacek</w:t>
      </w:r>
      <w:proofErr w:type="spellEnd"/>
      <w:r w:rsidRPr="00015ACF">
        <w:rPr>
          <w:rFonts w:ascii="Times New Roman" w:hAnsi="Times New Roman" w:cs="Times New Roman"/>
          <w:bCs/>
          <w:sz w:val="26"/>
          <w:szCs w:val="26"/>
        </w:rPr>
        <w:t xml:space="preserve"> RJ, Woollett LA, Penberthy WT. </w:t>
      </w:r>
      <w:hyperlink r:id="rId18" w:history="1">
        <w:r w:rsidRPr="00015AC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A high throughput live transparent animal bioassay to identify non-toxic small molecules or genes that regulate vertebrate fat metabolism for obesity drug development</w:t>
        </w:r>
      </w:hyperlink>
      <w:r w:rsidRPr="00015AC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>Nutr</w:t>
      </w:r>
      <w:proofErr w:type="spellEnd"/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>Metab</w:t>
      </w:r>
      <w:proofErr w:type="spellEnd"/>
      <w:r w:rsidRPr="00015ACF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015ACF">
        <w:rPr>
          <w:rFonts w:ascii="Times New Roman" w:hAnsi="Times New Roman" w:cs="Times New Roman"/>
          <w:bCs/>
          <w:sz w:val="26"/>
          <w:szCs w:val="26"/>
        </w:rPr>
        <w:t>Lond</w:t>
      </w:r>
      <w:proofErr w:type="spellEnd"/>
      <w:r w:rsidRPr="00015ACF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Pr="00015ACF">
        <w:rPr>
          <w:rFonts w:ascii="Times New Roman" w:hAnsi="Times New Roman" w:cs="Times New Roman"/>
          <w:bCs/>
          <w:sz w:val="26"/>
          <w:szCs w:val="26"/>
        </w:rPr>
        <w:t>2008;5:23</w:t>
      </w:r>
      <w:proofErr w:type="gramEnd"/>
      <w:r w:rsidRPr="00015ACF">
        <w:rPr>
          <w:rFonts w:ascii="Times New Roman" w:hAnsi="Times New Roman" w:cs="Times New Roman"/>
          <w:bCs/>
          <w:sz w:val="26"/>
          <w:szCs w:val="26"/>
        </w:rPr>
        <w:t>.</w:t>
      </w:r>
    </w:p>
    <w:p w14:paraId="4C14B389" w14:textId="77777777" w:rsidR="00015ACF" w:rsidRPr="00015ACF" w:rsidRDefault="00015ACF" w:rsidP="00E20257">
      <w:pPr>
        <w:pStyle w:val="Default"/>
        <w:numPr>
          <w:ilvl w:val="0"/>
          <w:numId w:val="10"/>
        </w:numPr>
        <w:tabs>
          <w:tab w:val="left" w:pos="330"/>
        </w:tabs>
        <w:spacing w:afterLines="120" w:after="288"/>
        <w:ind w:left="331"/>
        <w:rPr>
          <w:rFonts w:ascii="Times New Roman" w:hAnsi="Times New Roman" w:cs="Times New Roman"/>
          <w:bCs/>
          <w:sz w:val="26"/>
          <w:szCs w:val="26"/>
        </w:rPr>
      </w:pPr>
      <w:r w:rsidRPr="00015ACF">
        <w:rPr>
          <w:rFonts w:ascii="Times New Roman" w:hAnsi="Times New Roman" w:cs="Times New Roman"/>
          <w:bCs/>
          <w:sz w:val="26"/>
          <w:szCs w:val="26"/>
        </w:rPr>
        <w:t xml:space="preserve">Penberthy WT. </w:t>
      </w:r>
      <w:hyperlink r:id="rId19" w:history="1">
        <w:r w:rsidRPr="00015AC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Pharmacological targeting of IDO-mediated tolerance for treating autoimmune disease</w:t>
        </w:r>
      </w:hyperlink>
      <w:r w:rsidRPr="00015AC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>Curr</w:t>
      </w:r>
      <w:proofErr w:type="spellEnd"/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Drug </w:t>
      </w:r>
      <w:proofErr w:type="spellStart"/>
      <w:r w:rsidRPr="00015ACF">
        <w:rPr>
          <w:rFonts w:ascii="Times New Roman" w:hAnsi="Times New Roman" w:cs="Times New Roman"/>
          <w:bCs/>
          <w:i/>
          <w:iCs/>
          <w:sz w:val="26"/>
          <w:szCs w:val="26"/>
        </w:rPr>
        <w:t>Metab</w:t>
      </w:r>
      <w:proofErr w:type="spellEnd"/>
      <w:r w:rsidRPr="00015AC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15ACF">
        <w:rPr>
          <w:rFonts w:ascii="Times New Roman" w:hAnsi="Times New Roman" w:cs="Times New Roman"/>
          <w:bCs/>
          <w:sz w:val="26"/>
          <w:szCs w:val="26"/>
        </w:rPr>
        <w:t>2007;8:245</w:t>
      </w:r>
      <w:proofErr w:type="gramEnd"/>
      <w:r w:rsidRPr="00015ACF">
        <w:rPr>
          <w:rFonts w:ascii="Times New Roman" w:hAnsi="Times New Roman" w:cs="Times New Roman"/>
          <w:bCs/>
          <w:sz w:val="26"/>
          <w:szCs w:val="26"/>
        </w:rPr>
        <w:t>–66.</w:t>
      </w:r>
    </w:p>
    <w:p w14:paraId="0B069AB1" w14:textId="7EA3EFA5" w:rsidR="00015ACF" w:rsidRPr="0000286B" w:rsidRDefault="00E20257" w:rsidP="0000286B">
      <w:pPr>
        <w:pStyle w:val="Default"/>
        <w:numPr>
          <w:ilvl w:val="0"/>
          <w:numId w:val="10"/>
        </w:numPr>
        <w:tabs>
          <w:tab w:val="left" w:pos="330"/>
        </w:tabs>
        <w:spacing w:afterLines="120" w:after="288"/>
        <w:ind w:left="331"/>
        <w:rPr>
          <w:rFonts w:ascii="Times New Roman" w:hAnsi="Times New Roman" w:cs="Times New Roman"/>
          <w:sz w:val="24"/>
          <w:szCs w:val="24"/>
        </w:rPr>
      </w:pPr>
      <w:r w:rsidRPr="00E20257">
        <w:rPr>
          <w:rFonts w:ascii="Times New Roman" w:hAnsi="Times New Roman" w:cs="Times New Roman"/>
          <w:sz w:val="26"/>
          <w:szCs w:val="26"/>
        </w:rPr>
        <w:t xml:space="preserve">Traver, David, Barry H. Paw, Kenneth D.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Poss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, </w:t>
      </w:r>
      <w:r w:rsidRPr="00E20257">
        <w:rPr>
          <w:rFonts w:ascii="Times New Roman" w:hAnsi="Times New Roman" w:cs="Times New Roman"/>
          <w:b/>
          <w:bCs/>
          <w:sz w:val="26"/>
          <w:szCs w:val="26"/>
        </w:rPr>
        <w:t>W. Todd Penberthy</w:t>
      </w:r>
      <w:r w:rsidRPr="00E202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Shuo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Lin, and Leonard I. </w:t>
      </w:r>
      <w:proofErr w:type="spellStart"/>
      <w:r w:rsidRPr="00E20257">
        <w:rPr>
          <w:rFonts w:ascii="Times New Roman" w:hAnsi="Times New Roman" w:cs="Times New Roman"/>
          <w:sz w:val="26"/>
          <w:szCs w:val="26"/>
        </w:rPr>
        <w:t>Zon</w:t>
      </w:r>
      <w:proofErr w:type="spellEnd"/>
      <w:r w:rsidRPr="00E20257">
        <w:rPr>
          <w:rFonts w:ascii="Times New Roman" w:hAnsi="Times New Roman" w:cs="Times New Roman"/>
          <w:sz w:val="26"/>
          <w:szCs w:val="26"/>
        </w:rPr>
        <w:t xml:space="preserve"> (2003). Transplantation and </w:t>
      </w:r>
      <w:r w:rsidRPr="00E20257">
        <w:rPr>
          <w:rFonts w:ascii="Times New Roman" w:hAnsi="Times New Roman" w:cs="Times New Roman"/>
          <w:i/>
          <w:iCs/>
          <w:sz w:val="26"/>
          <w:szCs w:val="26"/>
        </w:rPr>
        <w:t xml:space="preserve">in vivo </w:t>
      </w:r>
      <w:r w:rsidRPr="00E20257">
        <w:rPr>
          <w:rFonts w:ascii="Times New Roman" w:hAnsi="Times New Roman" w:cs="Times New Roman"/>
          <w:sz w:val="26"/>
          <w:szCs w:val="26"/>
        </w:rPr>
        <w:t xml:space="preserve">Imaging of Multi-lineage Engraftment in Zebrafish Bloodless Mutants. </w:t>
      </w:r>
      <w:r w:rsidRPr="00E20257">
        <w:rPr>
          <w:rFonts w:ascii="Times New Roman" w:hAnsi="Times New Roman" w:cs="Times New Roman"/>
          <w:i/>
          <w:iCs/>
          <w:sz w:val="26"/>
          <w:szCs w:val="26"/>
        </w:rPr>
        <w:t>Nature Immunology</w:t>
      </w:r>
      <w:r w:rsidRPr="00E20257">
        <w:rPr>
          <w:rFonts w:ascii="Times New Roman" w:hAnsi="Times New Roman" w:cs="Times New Roman"/>
          <w:sz w:val="26"/>
          <w:szCs w:val="26"/>
        </w:rPr>
        <w:t>. 4:1238-1246.</w:t>
      </w:r>
      <w:r w:rsidRPr="00E202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5ACF" w:rsidRPr="0000286B" w:rsidSect="003C3101">
      <w:headerReference w:type="default" r:id="rId20"/>
      <w:pgSz w:w="12240" w:h="15840"/>
      <w:pgMar w:top="1440" w:right="1440" w:bottom="1440" w:left="1440" w:header="720" w:footer="8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3DC8" w14:textId="77777777" w:rsidR="002A010F" w:rsidRDefault="002A010F">
      <w:r>
        <w:separator/>
      </w:r>
    </w:p>
  </w:endnote>
  <w:endnote w:type="continuationSeparator" w:id="0">
    <w:p w14:paraId="5011E69C" w14:textId="77777777" w:rsidR="002A010F" w:rsidRDefault="002A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B839" w14:textId="77777777" w:rsidR="002A010F" w:rsidRDefault="002A010F">
      <w:r>
        <w:separator/>
      </w:r>
    </w:p>
  </w:footnote>
  <w:footnote w:type="continuationSeparator" w:id="0">
    <w:p w14:paraId="679D8918" w14:textId="77777777" w:rsidR="002A010F" w:rsidRDefault="002A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9B9E" w14:textId="77777777" w:rsidR="00B02C3B" w:rsidRDefault="00B02C3B" w:rsidP="00151B98">
    <w:pPr>
      <w:pStyle w:val="Default"/>
      <w:pBdr>
        <w:left w:val="none" w:sz="0" w:space="0" w:color="auto"/>
        <w:right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</w:p>
  <w:p w14:paraId="029493F8" w14:textId="77777777" w:rsidR="00B02C3B" w:rsidRDefault="00B02C3B" w:rsidP="00151B98">
    <w:pPr>
      <w:pStyle w:val="Default"/>
      <w:pBdr>
        <w:left w:val="none" w:sz="0" w:space="0" w:color="auto"/>
        <w:right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</w:p>
  <w:p w14:paraId="5D16235B" w14:textId="77777777" w:rsidR="003C3101" w:rsidRDefault="003C3101" w:rsidP="00151B98">
    <w:pPr>
      <w:pStyle w:val="Default"/>
      <w:pBdr>
        <w:left w:val="none" w:sz="0" w:space="0" w:color="auto"/>
        <w:right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</w:p>
  <w:p w14:paraId="64461171" w14:textId="28AF0316" w:rsidR="00151B98" w:rsidRDefault="00151B98" w:rsidP="00151B98">
    <w:pPr>
      <w:pStyle w:val="Default"/>
      <w:pBdr>
        <w:left w:val="none" w:sz="0" w:space="0" w:color="auto"/>
        <w:right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W. Todd Penberthy, PhD</w:t>
    </w:r>
  </w:p>
  <w:p w14:paraId="6F18016D" w14:textId="2C153767" w:rsidR="00151B98" w:rsidRDefault="00151B98" w:rsidP="00151B98">
    <w:pPr>
      <w:pStyle w:val="Default"/>
      <w:pBdr>
        <w:left w:val="none" w:sz="0" w:space="0" w:color="auto"/>
        <w:right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1(</w:t>
    </w:r>
    <w:r w:rsidR="00875B39">
      <w:rPr>
        <w:rFonts w:ascii="Times New Roman" w:hAnsi="Times New Roman" w:cs="Times New Roman"/>
        <w:sz w:val="24"/>
        <w:szCs w:val="24"/>
      </w:rPr>
      <w:t>689</w:t>
    </w:r>
    <w:r>
      <w:rPr>
        <w:rFonts w:ascii="Times New Roman" w:hAnsi="Times New Roman" w:cs="Times New Roman"/>
        <w:sz w:val="24"/>
        <w:szCs w:val="24"/>
      </w:rPr>
      <w:t xml:space="preserve">) </w:t>
    </w:r>
    <w:r w:rsidR="00875B39">
      <w:rPr>
        <w:rFonts w:ascii="Times New Roman" w:hAnsi="Times New Roman" w:cs="Times New Roman"/>
        <w:sz w:val="24"/>
        <w:szCs w:val="24"/>
      </w:rPr>
      <w:t>247</w:t>
    </w:r>
    <w:r>
      <w:rPr>
        <w:rFonts w:ascii="Times New Roman" w:hAnsi="Times New Roman" w:cs="Times New Roman"/>
        <w:sz w:val="24"/>
        <w:szCs w:val="24"/>
      </w:rPr>
      <w:t>-</w:t>
    </w:r>
    <w:r w:rsidR="00875B39">
      <w:rPr>
        <w:rFonts w:ascii="Times New Roman" w:hAnsi="Times New Roman" w:cs="Times New Roman"/>
        <w:sz w:val="24"/>
        <w:szCs w:val="24"/>
      </w:rPr>
      <w:t>0254</w:t>
    </w:r>
  </w:p>
  <w:p w14:paraId="35679315" w14:textId="5320348E" w:rsidR="00D0690E" w:rsidRDefault="00000000" w:rsidP="00151B98">
    <w:pPr>
      <w:pStyle w:val="Default"/>
      <w:pBdr>
        <w:left w:val="none" w:sz="0" w:space="0" w:color="auto"/>
        <w:right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hyperlink r:id="rId1" w:history="1">
      <w:r w:rsidR="000D091E" w:rsidRPr="005104CA">
        <w:rPr>
          <w:rStyle w:val="Hyperlink"/>
          <w:rFonts w:ascii="Times New Roman" w:hAnsi="Times New Roman" w:cs="Times New Roman"/>
          <w:sz w:val="24"/>
          <w:szCs w:val="24"/>
        </w:rPr>
        <w:t>WTPENBER@GMAIL.COM</w:t>
      </w:r>
    </w:hyperlink>
  </w:p>
  <w:p w14:paraId="51518B54" w14:textId="4B30D05F" w:rsidR="000D091E" w:rsidRPr="00151B98" w:rsidRDefault="000D091E" w:rsidP="00151B98">
    <w:pPr>
      <w:pStyle w:val="Default"/>
      <w:pBdr>
        <w:left w:val="none" w:sz="0" w:space="0" w:color="auto"/>
        <w:right w:val="none" w:sz="0" w:space="0" w:color="auto"/>
      </w:pBdr>
      <w:jc w:val="right"/>
      <w:rPr>
        <w:rStyle w:val="None"/>
        <w:rFonts w:ascii="Times New Roman" w:hAnsi="Times New Roman" w:cs="Times New Roman"/>
        <w:b/>
        <w:bCs/>
        <w:lang w:val="de-DE"/>
      </w:rPr>
    </w:pPr>
    <w:r>
      <w:rPr>
        <w:rFonts w:ascii="Times New Roman" w:hAnsi="Times New Roman" w:cs="Times New Roman"/>
        <w:sz w:val="24"/>
        <w:szCs w:val="24"/>
      </w:rPr>
      <w:t>August 28</w:t>
    </w:r>
    <w:r w:rsidRPr="000D091E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50A"/>
    <w:multiLevelType w:val="hybridMultilevel"/>
    <w:tmpl w:val="E0B06AE0"/>
    <w:styleLink w:val="BulletList1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•"/>
      <w:lvlJc w:val="left"/>
      <w:pPr>
        <w:ind w:left="1440" w:hanging="360"/>
      </w:pPr>
    </w:lvl>
    <w:lvl w:ilvl="3" w:tplc="FFFFFFFF">
      <w:start w:val="1"/>
      <w:numFmt w:val="bullet"/>
      <w:lvlText w:val="•"/>
      <w:lvlJc w:val="left"/>
      <w:pPr>
        <w:ind w:left="1800" w:hanging="360"/>
      </w:pPr>
    </w:lvl>
    <w:lvl w:ilvl="4" w:tplc="FFFFFFFF">
      <w:start w:val="1"/>
      <w:numFmt w:val="bullet"/>
      <w:lvlText w:val="•"/>
      <w:lvlJc w:val="left"/>
      <w:pPr>
        <w:ind w:left="2160" w:hanging="360"/>
      </w:pPr>
    </w:lvl>
    <w:lvl w:ilvl="5" w:tplc="FFFFFFFF">
      <w:start w:val="1"/>
      <w:numFmt w:val="bullet"/>
      <w:lvlText w:val="•"/>
      <w:lvlJc w:val="left"/>
      <w:pPr>
        <w:ind w:left="2520" w:hanging="360"/>
      </w:pPr>
    </w:lvl>
    <w:lvl w:ilvl="6" w:tplc="FFFFFFFF">
      <w:start w:val="1"/>
      <w:numFmt w:val="bullet"/>
      <w:lvlText w:val="•"/>
      <w:lvlJc w:val="left"/>
      <w:pPr>
        <w:ind w:left="2880" w:hanging="360"/>
      </w:pPr>
    </w:lvl>
    <w:lvl w:ilvl="7" w:tplc="FFFFFFFF">
      <w:start w:val="1"/>
      <w:numFmt w:val="bullet"/>
      <w:lvlText w:val="•"/>
      <w:lvlJc w:val="left"/>
      <w:pPr>
        <w:ind w:left="3240" w:hanging="360"/>
      </w:pPr>
    </w:lvl>
    <w:lvl w:ilvl="8" w:tplc="FFFFFFFF">
      <w:start w:val="1"/>
      <w:numFmt w:val="bullet"/>
      <w:lvlText w:val="•"/>
      <w:lvlJc w:val="left"/>
      <w:pPr>
        <w:ind w:left="3600" w:hanging="360"/>
      </w:pPr>
    </w:lvl>
  </w:abstractNum>
  <w:abstractNum w:abstractNumId="1" w15:restartNumberingAfterBreak="0">
    <w:nsid w:val="24155FD7"/>
    <w:multiLevelType w:val="multilevel"/>
    <w:tmpl w:val="2390C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DBFD26"/>
    <w:multiLevelType w:val="hybridMultilevel"/>
    <w:tmpl w:val="00000000"/>
    <w:styleLink w:val="BulletList3"/>
    <w:lvl w:ilvl="0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050" w:hanging="690"/>
      </w:pPr>
      <w:rPr>
        <w:rFonts w:ascii="Times" w:hAnsi="Times" w:cs="Times"/>
      </w:rPr>
    </w:lvl>
    <w:lvl w:ilvl="1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410" w:hanging="690"/>
      </w:pPr>
      <w:rPr>
        <w:rFonts w:ascii="Times" w:hAnsi="Times" w:cs="Times"/>
      </w:rPr>
    </w:lvl>
    <w:lvl w:ilvl="2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770" w:hanging="690"/>
      </w:pPr>
      <w:rPr>
        <w:rFonts w:ascii="Times" w:hAnsi="Times" w:cs="Times"/>
      </w:rPr>
    </w:lvl>
    <w:lvl w:ilvl="3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130" w:hanging="690"/>
      </w:pPr>
      <w:rPr>
        <w:rFonts w:ascii="Times" w:hAnsi="Times" w:cs="Times"/>
      </w:rPr>
    </w:lvl>
    <w:lvl w:ilvl="4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490" w:hanging="690"/>
      </w:pPr>
      <w:rPr>
        <w:rFonts w:ascii="Times" w:hAnsi="Times" w:cs="Times"/>
      </w:rPr>
    </w:lvl>
    <w:lvl w:ilvl="5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850" w:hanging="690"/>
      </w:pPr>
      <w:rPr>
        <w:rFonts w:ascii="Times" w:hAnsi="Times" w:cs="Times"/>
      </w:rPr>
    </w:lvl>
    <w:lvl w:ilvl="6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210" w:hanging="690"/>
      </w:pPr>
      <w:rPr>
        <w:rFonts w:ascii="Times" w:hAnsi="Times" w:cs="Times"/>
      </w:rPr>
    </w:lvl>
    <w:lvl w:ilvl="7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570" w:hanging="690"/>
      </w:pPr>
      <w:rPr>
        <w:rFonts w:ascii="Times" w:hAnsi="Times" w:cs="Times"/>
      </w:rPr>
    </w:lvl>
    <w:lvl w:ilvl="8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930" w:hanging="690"/>
      </w:pPr>
      <w:rPr>
        <w:rFonts w:ascii="Times" w:hAnsi="Times" w:cs="Times"/>
      </w:rPr>
    </w:lvl>
  </w:abstractNum>
  <w:abstractNum w:abstractNumId="3" w15:restartNumberingAfterBreak="0">
    <w:nsid w:val="62C8EF28"/>
    <w:multiLevelType w:val="hybridMultilevel"/>
    <w:tmpl w:val="00000000"/>
    <w:styleLink w:val="BulletList4"/>
    <w:lvl w:ilvl="0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60" w:hanging="360"/>
      </w:pPr>
      <w:rPr>
        <w:rFonts w:ascii="Times" w:hAnsi="Times" w:cs="Times"/>
      </w:rPr>
    </w:lvl>
    <w:lvl w:ilvl="1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080" w:hanging="360"/>
      </w:pPr>
      <w:rPr>
        <w:rFonts w:ascii="Times" w:hAnsi="Times" w:cs="Times"/>
      </w:rPr>
    </w:lvl>
    <w:lvl w:ilvl="2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440" w:hanging="360"/>
      </w:pPr>
      <w:rPr>
        <w:rFonts w:ascii="Times" w:hAnsi="Times" w:cs="Times"/>
      </w:rPr>
    </w:lvl>
    <w:lvl w:ilvl="3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800" w:hanging="360"/>
      </w:pPr>
      <w:rPr>
        <w:rFonts w:ascii="Times" w:hAnsi="Times" w:cs="Times"/>
      </w:rPr>
    </w:lvl>
    <w:lvl w:ilvl="4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160" w:hanging="360"/>
      </w:pPr>
      <w:rPr>
        <w:rFonts w:ascii="Times" w:hAnsi="Times" w:cs="Times"/>
      </w:rPr>
    </w:lvl>
    <w:lvl w:ilvl="5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520" w:hanging="360"/>
      </w:pPr>
      <w:rPr>
        <w:rFonts w:ascii="Times" w:hAnsi="Times" w:cs="Times"/>
      </w:rPr>
    </w:lvl>
    <w:lvl w:ilvl="6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880" w:hanging="360"/>
      </w:pPr>
      <w:rPr>
        <w:rFonts w:ascii="Times" w:hAnsi="Times" w:cs="Times"/>
      </w:rPr>
    </w:lvl>
    <w:lvl w:ilvl="7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240" w:hanging="360"/>
      </w:pPr>
      <w:rPr>
        <w:rFonts w:ascii="Times" w:hAnsi="Times" w:cs="Times"/>
      </w:rPr>
    </w:lvl>
    <w:lvl w:ilvl="8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600" w:hanging="360"/>
      </w:pPr>
      <w:rPr>
        <w:rFonts w:ascii="Times" w:hAnsi="Times" w:cs="Times"/>
      </w:rPr>
    </w:lvl>
  </w:abstractNum>
  <w:abstractNum w:abstractNumId="4" w15:restartNumberingAfterBreak="0">
    <w:nsid w:val="63A682E6"/>
    <w:multiLevelType w:val="hybridMultilevel"/>
    <w:tmpl w:val="00000000"/>
    <w:styleLink w:val="BulletList2"/>
    <w:lvl w:ilvl="0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720" w:hanging="720"/>
      </w:pPr>
      <w:rPr>
        <w:rFonts w:ascii="Times" w:hAnsi="Times" w:cs="Times"/>
      </w:rPr>
    </w:lvl>
    <w:lvl w:ilvl="1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440" w:hanging="720"/>
      </w:pPr>
      <w:rPr>
        <w:rFonts w:ascii="Times" w:hAnsi="Times" w:cs="Times"/>
      </w:rPr>
    </w:lvl>
    <w:lvl w:ilvl="2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800" w:hanging="720"/>
      </w:pPr>
      <w:rPr>
        <w:rFonts w:ascii="Times" w:hAnsi="Times" w:cs="Times"/>
      </w:rPr>
    </w:lvl>
    <w:lvl w:ilvl="3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160" w:hanging="720"/>
      </w:pPr>
      <w:rPr>
        <w:rFonts w:ascii="Times" w:hAnsi="Times" w:cs="Times"/>
      </w:rPr>
    </w:lvl>
    <w:lvl w:ilvl="4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520" w:hanging="720"/>
      </w:pPr>
      <w:rPr>
        <w:rFonts w:ascii="Times" w:hAnsi="Times" w:cs="Times"/>
      </w:rPr>
    </w:lvl>
    <w:lvl w:ilvl="5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880" w:hanging="720"/>
      </w:pPr>
      <w:rPr>
        <w:rFonts w:ascii="Times" w:hAnsi="Times" w:cs="Times"/>
      </w:rPr>
    </w:lvl>
    <w:lvl w:ilvl="6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240" w:hanging="720"/>
      </w:pPr>
      <w:rPr>
        <w:rFonts w:ascii="Times" w:hAnsi="Times" w:cs="Times"/>
      </w:rPr>
    </w:lvl>
    <w:lvl w:ilvl="7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600" w:hanging="720"/>
      </w:pPr>
      <w:rPr>
        <w:rFonts w:ascii="Times" w:hAnsi="Times" w:cs="Times"/>
      </w:rPr>
    </w:lvl>
    <w:lvl w:ilvl="8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960" w:hanging="720"/>
      </w:pPr>
      <w:rPr>
        <w:rFonts w:ascii="Times" w:hAnsi="Times" w:cs="Times"/>
      </w:rPr>
    </w:lvl>
  </w:abstractNum>
  <w:abstractNum w:abstractNumId="5" w15:restartNumberingAfterBreak="0">
    <w:nsid w:val="662973F6"/>
    <w:multiLevelType w:val="hybridMultilevel"/>
    <w:tmpl w:val="D0E8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4466"/>
    <w:multiLevelType w:val="hybridMultilevel"/>
    <w:tmpl w:val="8A9E6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D5DC2"/>
    <w:multiLevelType w:val="hybridMultilevel"/>
    <w:tmpl w:val="00000000"/>
    <w:styleLink w:val="BulletList5"/>
    <w:lvl w:ilvl="0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30" w:hanging="330"/>
      </w:pPr>
      <w:rPr>
        <w:rFonts w:ascii="Times" w:hAnsi="Times" w:cs="Times"/>
      </w:rPr>
    </w:lvl>
    <w:lvl w:ilvl="1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050" w:hanging="330"/>
      </w:pPr>
      <w:rPr>
        <w:rFonts w:ascii="Times" w:hAnsi="Times" w:cs="Times"/>
      </w:rPr>
    </w:lvl>
    <w:lvl w:ilvl="2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410" w:hanging="330"/>
      </w:pPr>
      <w:rPr>
        <w:rFonts w:ascii="Times" w:hAnsi="Times" w:cs="Times"/>
      </w:rPr>
    </w:lvl>
    <w:lvl w:ilvl="3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770" w:hanging="330"/>
      </w:pPr>
      <w:rPr>
        <w:rFonts w:ascii="Times" w:hAnsi="Times" w:cs="Times"/>
      </w:rPr>
    </w:lvl>
    <w:lvl w:ilvl="4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130" w:hanging="330"/>
      </w:pPr>
      <w:rPr>
        <w:rFonts w:ascii="Times" w:hAnsi="Times" w:cs="Times"/>
      </w:rPr>
    </w:lvl>
    <w:lvl w:ilvl="5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490" w:hanging="330"/>
      </w:pPr>
      <w:rPr>
        <w:rFonts w:ascii="Times" w:hAnsi="Times" w:cs="Times"/>
      </w:rPr>
    </w:lvl>
    <w:lvl w:ilvl="6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850" w:hanging="330"/>
      </w:pPr>
      <w:rPr>
        <w:rFonts w:ascii="Times" w:hAnsi="Times" w:cs="Times"/>
      </w:rPr>
    </w:lvl>
    <w:lvl w:ilvl="7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210" w:hanging="330"/>
      </w:pPr>
      <w:rPr>
        <w:rFonts w:ascii="Times" w:hAnsi="Times" w:cs="Times"/>
      </w:rPr>
    </w:lvl>
    <w:lvl w:ilvl="8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570" w:hanging="330"/>
      </w:pPr>
      <w:rPr>
        <w:rFonts w:ascii="Times" w:hAnsi="Times" w:cs="Times"/>
      </w:rPr>
    </w:lvl>
  </w:abstractNum>
  <w:num w:numId="1" w16cid:durableId="764610890">
    <w:abstractNumId w:val="0"/>
  </w:num>
  <w:num w:numId="2" w16cid:durableId="2082217754">
    <w:abstractNumId w:val="0"/>
  </w:num>
  <w:num w:numId="3" w16cid:durableId="1973900116">
    <w:abstractNumId w:val="4"/>
    <w:lvlOverride w:ilvl="0">
      <w:startOverride w:val="1"/>
    </w:lvlOverride>
  </w:num>
  <w:num w:numId="4" w16cid:durableId="1015185292">
    <w:abstractNumId w:val="4"/>
  </w:num>
  <w:num w:numId="5" w16cid:durableId="923413575">
    <w:abstractNumId w:val="2"/>
    <w:lvlOverride w:ilvl="0">
      <w:startOverride w:val="1"/>
    </w:lvlOverride>
  </w:num>
  <w:num w:numId="6" w16cid:durableId="659118321">
    <w:abstractNumId w:val="2"/>
  </w:num>
  <w:num w:numId="7" w16cid:durableId="252396837">
    <w:abstractNumId w:val="3"/>
    <w:lvlOverride w:ilvl="0">
      <w:startOverride w:val="1"/>
    </w:lvlOverride>
  </w:num>
  <w:num w:numId="8" w16cid:durableId="867333573">
    <w:abstractNumId w:val="3"/>
  </w:num>
  <w:num w:numId="9" w16cid:durableId="626349972">
    <w:abstractNumId w:val="7"/>
    <w:lvlOverride w:ilvl="0">
      <w:startOverride w:val="1"/>
    </w:lvlOverride>
  </w:num>
  <w:num w:numId="10" w16cid:durableId="1983776160">
    <w:abstractNumId w:val="7"/>
  </w:num>
  <w:num w:numId="11" w16cid:durableId="2121485093">
    <w:abstractNumId w:val="0"/>
    <w:lvlOverride w:ilvl="0"/>
    <w:lvlOverride w:ilvl="1">
      <w:startOverride w:val="1"/>
    </w:lvlOverride>
  </w:num>
  <w:num w:numId="12" w16cid:durableId="506210701">
    <w:abstractNumId w:val="6"/>
  </w:num>
  <w:num w:numId="13" w16cid:durableId="958998075">
    <w:abstractNumId w:val="1"/>
  </w:num>
  <w:num w:numId="14" w16cid:durableId="1722822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1C"/>
    <w:rsid w:val="000020B3"/>
    <w:rsid w:val="0000286B"/>
    <w:rsid w:val="00002926"/>
    <w:rsid w:val="00002ED4"/>
    <w:rsid w:val="00005ED8"/>
    <w:rsid w:val="00013462"/>
    <w:rsid w:val="00013578"/>
    <w:rsid w:val="000151A9"/>
    <w:rsid w:val="00015ACF"/>
    <w:rsid w:val="000215BA"/>
    <w:rsid w:val="00022720"/>
    <w:rsid w:val="00022BCB"/>
    <w:rsid w:val="00032C55"/>
    <w:rsid w:val="00035F79"/>
    <w:rsid w:val="000364CD"/>
    <w:rsid w:val="000365FA"/>
    <w:rsid w:val="00040830"/>
    <w:rsid w:val="00043968"/>
    <w:rsid w:val="00043F84"/>
    <w:rsid w:val="000450DD"/>
    <w:rsid w:val="00062FD8"/>
    <w:rsid w:val="00071600"/>
    <w:rsid w:val="00073D4D"/>
    <w:rsid w:val="00075AC0"/>
    <w:rsid w:val="00097884"/>
    <w:rsid w:val="000A54DF"/>
    <w:rsid w:val="000A699F"/>
    <w:rsid w:val="000B258A"/>
    <w:rsid w:val="000B3187"/>
    <w:rsid w:val="000B31CB"/>
    <w:rsid w:val="000C35C6"/>
    <w:rsid w:val="000C5C46"/>
    <w:rsid w:val="000D091E"/>
    <w:rsid w:val="000D53B6"/>
    <w:rsid w:val="000D7828"/>
    <w:rsid w:val="000E33F9"/>
    <w:rsid w:val="000E4FE4"/>
    <w:rsid w:val="000F5455"/>
    <w:rsid w:val="000F698E"/>
    <w:rsid w:val="000F7C78"/>
    <w:rsid w:val="00106660"/>
    <w:rsid w:val="00110F95"/>
    <w:rsid w:val="001144FE"/>
    <w:rsid w:val="00114721"/>
    <w:rsid w:val="001148CB"/>
    <w:rsid w:val="00116E1E"/>
    <w:rsid w:val="00130B1F"/>
    <w:rsid w:val="00134476"/>
    <w:rsid w:val="00142717"/>
    <w:rsid w:val="0015079F"/>
    <w:rsid w:val="00151B98"/>
    <w:rsid w:val="00153382"/>
    <w:rsid w:val="00165DE5"/>
    <w:rsid w:val="00172EC3"/>
    <w:rsid w:val="00174365"/>
    <w:rsid w:val="001756CE"/>
    <w:rsid w:val="001761AF"/>
    <w:rsid w:val="00184CD4"/>
    <w:rsid w:val="001A4732"/>
    <w:rsid w:val="001A4DDA"/>
    <w:rsid w:val="001A53C6"/>
    <w:rsid w:val="001B171B"/>
    <w:rsid w:val="001C1F50"/>
    <w:rsid w:val="001C625E"/>
    <w:rsid w:val="001C6E12"/>
    <w:rsid w:val="001C7237"/>
    <w:rsid w:val="001D3DA2"/>
    <w:rsid w:val="001D63A0"/>
    <w:rsid w:val="001E147F"/>
    <w:rsid w:val="001E2C79"/>
    <w:rsid w:val="001F02C5"/>
    <w:rsid w:val="001F5531"/>
    <w:rsid w:val="001F61D7"/>
    <w:rsid w:val="001F732C"/>
    <w:rsid w:val="002002B3"/>
    <w:rsid w:val="00202D85"/>
    <w:rsid w:val="00206A28"/>
    <w:rsid w:val="00210336"/>
    <w:rsid w:val="00214A68"/>
    <w:rsid w:val="002224AA"/>
    <w:rsid w:val="002270AF"/>
    <w:rsid w:val="0023167E"/>
    <w:rsid w:val="002442EB"/>
    <w:rsid w:val="002456C1"/>
    <w:rsid w:val="002458A4"/>
    <w:rsid w:val="00251EA3"/>
    <w:rsid w:val="00255E35"/>
    <w:rsid w:val="0026396F"/>
    <w:rsid w:val="00286752"/>
    <w:rsid w:val="002867F3"/>
    <w:rsid w:val="00291784"/>
    <w:rsid w:val="002A010F"/>
    <w:rsid w:val="002A2A0B"/>
    <w:rsid w:val="002A4318"/>
    <w:rsid w:val="002A4959"/>
    <w:rsid w:val="002C01AF"/>
    <w:rsid w:val="002C03F7"/>
    <w:rsid w:val="002C0BFD"/>
    <w:rsid w:val="002C1BEC"/>
    <w:rsid w:val="002C398D"/>
    <w:rsid w:val="002D4A8C"/>
    <w:rsid w:val="002D4E51"/>
    <w:rsid w:val="002D5DA7"/>
    <w:rsid w:val="002E50EE"/>
    <w:rsid w:val="002E577C"/>
    <w:rsid w:val="002E5E65"/>
    <w:rsid w:val="002F0EE9"/>
    <w:rsid w:val="002F16A2"/>
    <w:rsid w:val="002F2723"/>
    <w:rsid w:val="002F3422"/>
    <w:rsid w:val="002F3440"/>
    <w:rsid w:val="002F7D10"/>
    <w:rsid w:val="0030354D"/>
    <w:rsid w:val="00306773"/>
    <w:rsid w:val="0031231B"/>
    <w:rsid w:val="003129E0"/>
    <w:rsid w:val="0031344D"/>
    <w:rsid w:val="003152C8"/>
    <w:rsid w:val="00332C2C"/>
    <w:rsid w:val="00334F35"/>
    <w:rsid w:val="00335E66"/>
    <w:rsid w:val="00342DE0"/>
    <w:rsid w:val="00343922"/>
    <w:rsid w:val="00343B8E"/>
    <w:rsid w:val="00346774"/>
    <w:rsid w:val="00353582"/>
    <w:rsid w:val="003542DB"/>
    <w:rsid w:val="00361101"/>
    <w:rsid w:val="003611A3"/>
    <w:rsid w:val="0036403E"/>
    <w:rsid w:val="00371C81"/>
    <w:rsid w:val="00373859"/>
    <w:rsid w:val="003739E8"/>
    <w:rsid w:val="00373A92"/>
    <w:rsid w:val="00373AF7"/>
    <w:rsid w:val="00377542"/>
    <w:rsid w:val="00382263"/>
    <w:rsid w:val="00384141"/>
    <w:rsid w:val="003848D3"/>
    <w:rsid w:val="00390F2F"/>
    <w:rsid w:val="003938CA"/>
    <w:rsid w:val="00394D87"/>
    <w:rsid w:val="003A7F9F"/>
    <w:rsid w:val="003B265F"/>
    <w:rsid w:val="003B3CE0"/>
    <w:rsid w:val="003B44F6"/>
    <w:rsid w:val="003B4B74"/>
    <w:rsid w:val="003C27F8"/>
    <w:rsid w:val="003C3101"/>
    <w:rsid w:val="003D3748"/>
    <w:rsid w:val="003D4136"/>
    <w:rsid w:val="003D55B3"/>
    <w:rsid w:val="003D61D1"/>
    <w:rsid w:val="003D6AEE"/>
    <w:rsid w:val="003E222F"/>
    <w:rsid w:val="003E599D"/>
    <w:rsid w:val="003F68DE"/>
    <w:rsid w:val="00401306"/>
    <w:rsid w:val="00404917"/>
    <w:rsid w:val="00405330"/>
    <w:rsid w:val="004053A4"/>
    <w:rsid w:val="00407482"/>
    <w:rsid w:val="004149CA"/>
    <w:rsid w:val="004152E7"/>
    <w:rsid w:val="00416053"/>
    <w:rsid w:val="0041687B"/>
    <w:rsid w:val="00420D06"/>
    <w:rsid w:val="00423915"/>
    <w:rsid w:val="00425CDD"/>
    <w:rsid w:val="004363B2"/>
    <w:rsid w:val="00440A97"/>
    <w:rsid w:val="004450FB"/>
    <w:rsid w:val="004500D5"/>
    <w:rsid w:val="00454226"/>
    <w:rsid w:val="00455ABE"/>
    <w:rsid w:val="004560B1"/>
    <w:rsid w:val="004623EE"/>
    <w:rsid w:val="00462B98"/>
    <w:rsid w:val="00462F16"/>
    <w:rsid w:val="004633E2"/>
    <w:rsid w:val="004725D7"/>
    <w:rsid w:val="00477098"/>
    <w:rsid w:val="00483143"/>
    <w:rsid w:val="00490203"/>
    <w:rsid w:val="004906E8"/>
    <w:rsid w:val="004920AC"/>
    <w:rsid w:val="004941C9"/>
    <w:rsid w:val="004A4BB7"/>
    <w:rsid w:val="004B05A1"/>
    <w:rsid w:val="004B2503"/>
    <w:rsid w:val="004B2AF0"/>
    <w:rsid w:val="004B51C0"/>
    <w:rsid w:val="004B765F"/>
    <w:rsid w:val="004C544E"/>
    <w:rsid w:val="004D0CC4"/>
    <w:rsid w:val="004D6666"/>
    <w:rsid w:val="004D7095"/>
    <w:rsid w:val="004D7955"/>
    <w:rsid w:val="004E0A12"/>
    <w:rsid w:val="004E3AED"/>
    <w:rsid w:val="004E419B"/>
    <w:rsid w:val="005066B3"/>
    <w:rsid w:val="00506AC8"/>
    <w:rsid w:val="005107A9"/>
    <w:rsid w:val="00517BF6"/>
    <w:rsid w:val="00517BF8"/>
    <w:rsid w:val="005275E9"/>
    <w:rsid w:val="00531C95"/>
    <w:rsid w:val="00532C70"/>
    <w:rsid w:val="00533175"/>
    <w:rsid w:val="005368C1"/>
    <w:rsid w:val="0055042A"/>
    <w:rsid w:val="00554A82"/>
    <w:rsid w:val="0056211A"/>
    <w:rsid w:val="00566C7A"/>
    <w:rsid w:val="00575C2F"/>
    <w:rsid w:val="00581282"/>
    <w:rsid w:val="0058485E"/>
    <w:rsid w:val="00584CAE"/>
    <w:rsid w:val="005920EE"/>
    <w:rsid w:val="00596C5F"/>
    <w:rsid w:val="005A1E37"/>
    <w:rsid w:val="005A4336"/>
    <w:rsid w:val="005A485A"/>
    <w:rsid w:val="005A7C9B"/>
    <w:rsid w:val="005B0C02"/>
    <w:rsid w:val="005B308B"/>
    <w:rsid w:val="005C1307"/>
    <w:rsid w:val="005C46C8"/>
    <w:rsid w:val="005D0340"/>
    <w:rsid w:val="005D3AD1"/>
    <w:rsid w:val="005D4341"/>
    <w:rsid w:val="005E5333"/>
    <w:rsid w:val="005E67C6"/>
    <w:rsid w:val="00601C0B"/>
    <w:rsid w:val="00603D84"/>
    <w:rsid w:val="0060400C"/>
    <w:rsid w:val="00614002"/>
    <w:rsid w:val="006145BE"/>
    <w:rsid w:val="006160AC"/>
    <w:rsid w:val="006164EE"/>
    <w:rsid w:val="0062496B"/>
    <w:rsid w:val="00626A75"/>
    <w:rsid w:val="00626A79"/>
    <w:rsid w:val="00637CE5"/>
    <w:rsid w:val="006412EB"/>
    <w:rsid w:val="00644714"/>
    <w:rsid w:val="00657BE3"/>
    <w:rsid w:val="006663FB"/>
    <w:rsid w:val="006731F7"/>
    <w:rsid w:val="00674253"/>
    <w:rsid w:val="0067546C"/>
    <w:rsid w:val="00685403"/>
    <w:rsid w:val="00693976"/>
    <w:rsid w:val="00693C00"/>
    <w:rsid w:val="00697F01"/>
    <w:rsid w:val="006A4C5D"/>
    <w:rsid w:val="006A7E79"/>
    <w:rsid w:val="006B271A"/>
    <w:rsid w:val="006B376D"/>
    <w:rsid w:val="006B5D57"/>
    <w:rsid w:val="006B6CE5"/>
    <w:rsid w:val="006B7223"/>
    <w:rsid w:val="006C0844"/>
    <w:rsid w:val="006C3ED1"/>
    <w:rsid w:val="006C7B89"/>
    <w:rsid w:val="006C7FBA"/>
    <w:rsid w:val="006D4B6E"/>
    <w:rsid w:val="006E1CF9"/>
    <w:rsid w:val="006E2408"/>
    <w:rsid w:val="006F71D2"/>
    <w:rsid w:val="007011C1"/>
    <w:rsid w:val="00712FDE"/>
    <w:rsid w:val="0071389A"/>
    <w:rsid w:val="00715968"/>
    <w:rsid w:val="00723D87"/>
    <w:rsid w:val="00723E90"/>
    <w:rsid w:val="00725468"/>
    <w:rsid w:val="0072556A"/>
    <w:rsid w:val="007261AA"/>
    <w:rsid w:val="00727B2F"/>
    <w:rsid w:val="00730CB1"/>
    <w:rsid w:val="00733E06"/>
    <w:rsid w:val="0073689C"/>
    <w:rsid w:val="00743C42"/>
    <w:rsid w:val="00746360"/>
    <w:rsid w:val="0074708D"/>
    <w:rsid w:val="0075509B"/>
    <w:rsid w:val="007564D8"/>
    <w:rsid w:val="00761EF0"/>
    <w:rsid w:val="007672EF"/>
    <w:rsid w:val="0078335C"/>
    <w:rsid w:val="00785FFD"/>
    <w:rsid w:val="0078682F"/>
    <w:rsid w:val="007871F7"/>
    <w:rsid w:val="007923DA"/>
    <w:rsid w:val="00792558"/>
    <w:rsid w:val="007A4798"/>
    <w:rsid w:val="007B0A73"/>
    <w:rsid w:val="007B36D9"/>
    <w:rsid w:val="007C1B47"/>
    <w:rsid w:val="007C492F"/>
    <w:rsid w:val="007C4C41"/>
    <w:rsid w:val="007D23AB"/>
    <w:rsid w:val="007D75BF"/>
    <w:rsid w:val="007F276A"/>
    <w:rsid w:val="007F4421"/>
    <w:rsid w:val="007F610C"/>
    <w:rsid w:val="007F77B9"/>
    <w:rsid w:val="0081025D"/>
    <w:rsid w:val="0081102E"/>
    <w:rsid w:val="00815280"/>
    <w:rsid w:val="00830CB5"/>
    <w:rsid w:val="00840F1D"/>
    <w:rsid w:val="00842354"/>
    <w:rsid w:val="008572AA"/>
    <w:rsid w:val="00861F3B"/>
    <w:rsid w:val="008622B3"/>
    <w:rsid w:val="008672F0"/>
    <w:rsid w:val="00873147"/>
    <w:rsid w:val="008752FC"/>
    <w:rsid w:val="00875404"/>
    <w:rsid w:val="00875B39"/>
    <w:rsid w:val="00885B8D"/>
    <w:rsid w:val="00885BA6"/>
    <w:rsid w:val="008862B8"/>
    <w:rsid w:val="008879B3"/>
    <w:rsid w:val="008972E2"/>
    <w:rsid w:val="008A1A7C"/>
    <w:rsid w:val="008A5667"/>
    <w:rsid w:val="008B1DA5"/>
    <w:rsid w:val="008B2600"/>
    <w:rsid w:val="008B421C"/>
    <w:rsid w:val="008B7119"/>
    <w:rsid w:val="008C5526"/>
    <w:rsid w:val="008C6C83"/>
    <w:rsid w:val="008D1E4A"/>
    <w:rsid w:val="008D457D"/>
    <w:rsid w:val="008E2D78"/>
    <w:rsid w:val="008E5B1D"/>
    <w:rsid w:val="008E70A4"/>
    <w:rsid w:val="00902935"/>
    <w:rsid w:val="0091411C"/>
    <w:rsid w:val="00914D77"/>
    <w:rsid w:val="00915568"/>
    <w:rsid w:val="00915EEA"/>
    <w:rsid w:val="00916EF0"/>
    <w:rsid w:val="00920D53"/>
    <w:rsid w:val="00923F5F"/>
    <w:rsid w:val="00930C56"/>
    <w:rsid w:val="0094191A"/>
    <w:rsid w:val="00945F56"/>
    <w:rsid w:val="00947E9F"/>
    <w:rsid w:val="009516A1"/>
    <w:rsid w:val="00955F20"/>
    <w:rsid w:val="00960DBA"/>
    <w:rsid w:val="00967498"/>
    <w:rsid w:val="00971294"/>
    <w:rsid w:val="0097449B"/>
    <w:rsid w:val="00975D79"/>
    <w:rsid w:val="0098404C"/>
    <w:rsid w:val="00990212"/>
    <w:rsid w:val="00996C1C"/>
    <w:rsid w:val="009A0608"/>
    <w:rsid w:val="009A46AF"/>
    <w:rsid w:val="009B03E0"/>
    <w:rsid w:val="009C06CA"/>
    <w:rsid w:val="009C3245"/>
    <w:rsid w:val="009C514B"/>
    <w:rsid w:val="009D0D0D"/>
    <w:rsid w:val="009D4FB6"/>
    <w:rsid w:val="009D6FA1"/>
    <w:rsid w:val="009D7B26"/>
    <w:rsid w:val="009E2762"/>
    <w:rsid w:val="009E5C28"/>
    <w:rsid w:val="009F2FE7"/>
    <w:rsid w:val="009F352D"/>
    <w:rsid w:val="00A026E7"/>
    <w:rsid w:val="00A05231"/>
    <w:rsid w:val="00A16801"/>
    <w:rsid w:val="00A20F6B"/>
    <w:rsid w:val="00A23103"/>
    <w:rsid w:val="00A26E54"/>
    <w:rsid w:val="00A3100E"/>
    <w:rsid w:val="00A31043"/>
    <w:rsid w:val="00A356D4"/>
    <w:rsid w:val="00A37181"/>
    <w:rsid w:val="00A4163C"/>
    <w:rsid w:val="00A54D15"/>
    <w:rsid w:val="00A644C8"/>
    <w:rsid w:val="00A645AA"/>
    <w:rsid w:val="00A834BE"/>
    <w:rsid w:val="00A83E3A"/>
    <w:rsid w:val="00A869B4"/>
    <w:rsid w:val="00AA3950"/>
    <w:rsid w:val="00AA3D48"/>
    <w:rsid w:val="00AA45DA"/>
    <w:rsid w:val="00AC3DFE"/>
    <w:rsid w:val="00AC51FE"/>
    <w:rsid w:val="00AC5707"/>
    <w:rsid w:val="00AD0B23"/>
    <w:rsid w:val="00AD1F45"/>
    <w:rsid w:val="00AE7092"/>
    <w:rsid w:val="00AE73B6"/>
    <w:rsid w:val="00AE75D5"/>
    <w:rsid w:val="00AF01C9"/>
    <w:rsid w:val="00AF1AA6"/>
    <w:rsid w:val="00AF2472"/>
    <w:rsid w:val="00AF48BA"/>
    <w:rsid w:val="00B01F66"/>
    <w:rsid w:val="00B02C3B"/>
    <w:rsid w:val="00B067BA"/>
    <w:rsid w:val="00B1495C"/>
    <w:rsid w:val="00B15DB4"/>
    <w:rsid w:val="00B209D3"/>
    <w:rsid w:val="00B278EF"/>
    <w:rsid w:val="00B27992"/>
    <w:rsid w:val="00B30568"/>
    <w:rsid w:val="00B30A9F"/>
    <w:rsid w:val="00B30E14"/>
    <w:rsid w:val="00B30EB9"/>
    <w:rsid w:val="00B3120E"/>
    <w:rsid w:val="00B32892"/>
    <w:rsid w:val="00B34987"/>
    <w:rsid w:val="00B354B4"/>
    <w:rsid w:val="00B4382D"/>
    <w:rsid w:val="00B50E8C"/>
    <w:rsid w:val="00B53C9A"/>
    <w:rsid w:val="00B71233"/>
    <w:rsid w:val="00B712E1"/>
    <w:rsid w:val="00B73326"/>
    <w:rsid w:val="00B7363E"/>
    <w:rsid w:val="00B7762B"/>
    <w:rsid w:val="00B87081"/>
    <w:rsid w:val="00BA084E"/>
    <w:rsid w:val="00BA1EF0"/>
    <w:rsid w:val="00BA2384"/>
    <w:rsid w:val="00BA5379"/>
    <w:rsid w:val="00BB12AC"/>
    <w:rsid w:val="00BB572A"/>
    <w:rsid w:val="00BB5958"/>
    <w:rsid w:val="00BB6802"/>
    <w:rsid w:val="00BC49E2"/>
    <w:rsid w:val="00BC4A72"/>
    <w:rsid w:val="00BD4321"/>
    <w:rsid w:val="00BE2D78"/>
    <w:rsid w:val="00BE6A01"/>
    <w:rsid w:val="00BF1A0D"/>
    <w:rsid w:val="00BF57FE"/>
    <w:rsid w:val="00C03F81"/>
    <w:rsid w:val="00C050DF"/>
    <w:rsid w:val="00C06641"/>
    <w:rsid w:val="00C11DBB"/>
    <w:rsid w:val="00C14590"/>
    <w:rsid w:val="00C26AE9"/>
    <w:rsid w:val="00C33C96"/>
    <w:rsid w:val="00C34C49"/>
    <w:rsid w:val="00C41D57"/>
    <w:rsid w:val="00C46196"/>
    <w:rsid w:val="00C518CD"/>
    <w:rsid w:val="00C53D78"/>
    <w:rsid w:val="00C5585A"/>
    <w:rsid w:val="00C7236A"/>
    <w:rsid w:val="00C73192"/>
    <w:rsid w:val="00C76C65"/>
    <w:rsid w:val="00C8694C"/>
    <w:rsid w:val="00C871D4"/>
    <w:rsid w:val="00C940AB"/>
    <w:rsid w:val="00C97160"/>
    <w:rsid w:val="00CA5E25"/>
    <w:rsid w:val="00CB0EEB"/>
    <w:rsid w:val="00CB4269"/>
    <w:rsid w:val="00CB7E17"/>
    <w:rsid w:val="00CC1087"/>
    <w:rsid w:val="00CC557E"/>
    <w:rsid w:val="00CC6614"/>
    <w:rsid w:val="00CD23E8"/>
    <w:rsid w:val="00CD3491"/>
    <w:rsid w:val="00CD3D22"/>
    <w:rsid w:val="00CE1716"/>
    <w:rsid w:val="00CE2401"/>
    <w:rsid w:val="00CE335E"/>
    <w:rsid w:val="00CF2C71"/>
    <w:rsid w:val="00CF5A99"/>
    <w:rsid w:val="00D0357E"/>
    <w:rsid w:val="00D0690E"/>
    <w:rsid w:val="00D136EB"/>
    <w:rsid w:val="00D21704"/>
    <w:rsid w:val="00D22D84"/>
    <w:rsid w:val="00D271CD"/>
    <w:rsid w:val="00D27C1C"/>
    <w:rsid w:val="00D353C3"/>
    <w:rsid w:val="00D41329"/>
    <w:rsid w:val="00D506A4"/>
    <w:rsid w:val="00D5176B"/>
    <w:rsid w:val="00D51EA5"/>
    <w:rsid w:val="00D5378C"/>
    <w:rsid w:val="00D567A8"/>
    <w:rsid w:val="00D6091F"/>
    <w:rsid w:val="00D6132A"/>
    <w:rsid w:val="00D63FCB"/>
    <w:rsid w:val="00D72EFF"/>
    <w:rsid w:val="00D77FB0"/>
    <w:rsid w:val="00D838A0"/>
    <w:rsid w:val="00D84D23"/>
    <w:rsid w:val="00D904C1"/>
    <w:rsid w:val="00DA651A"/>
    <w:rsid w:val="00DB1845"/>
    <w:rsid w:val="00DB1E5E"/>
    <w:rsid w:val="00DB48D7"/>
    <w:rsid w:val="00DD274B"/>
    <w:rsid w:val="00DD6F83"/>
    <w:rsid w:val="00DD75E8"/>
    <w:rsid w:val="00DF0C01"/>
    <w:rsid w:val="00DF1F74"/>
    <w:rsid w:val="00E01123"/>
    <w:rsid w:val="00E04523"/>
    <w:rsid w:val="00E20257"/>
    <w:rsid w:val="00E30C41"/>
    <w:rsid w:val="00E34339"/>
    <w:rsid w:val="00E34B83"/>
    <w:rsid w:val="00E37B33"/>
    <w:rsid w:val="00E403F2"/>
    <w:rsid w:val="00E46809"/>
    <w:rsid w:val="00E568DE"/>
    <w:rsid w:val="00E67C61"/>
    <w:rsid w:val="00E76A03"/>
    <w:rsid w:val="00E81EDB"/>
    <w:rsid w:val="00E8290E"/>
    <w:rsid w:val="00E8616C"/>
    <w:rsid w:val="00E875EC"/>
    <w:rsid w:val="00E90670"/>
    <w:rsid w:val="00E911D3"/>
    <w:rsid w:val="00E927B3"/>
    <w:rsid w:val="00E97380"/>
    <w:rsid w:val="00EA0A11"/>
    <w:rsid w:val="00EA0D24"/>
    <w:rsid w:val="00EA0D42"/>
    <w:rsid w:val="00EA1FE2"/>
    <w:rsid w:val="00EA5CC0"/>
    <w:rsid w:val="00EB622B"/>
    <w:rsid w:val="00EC0C9B"/>
    <w:rsid w:val="00EC11D4"/>
    <w:rsid w:val="00EC2E64"/>
    <w:rsid w:val="00EC6C76"/>
    <w:rsid w:val="00ED5829"/>
    <w:rsid w:val="00EE4175"/>
    <w:rsid w:val="00EF0EAE"/>
    <w:rsid w:val="00EF1AC2"/>
    <w:rsid w:val="00F01406"/>
    <w:rsid w:val="00F13CA8"/>
    <w:rsid w:val="00F34705"/>
    <w:rsid w:val="00F4285F"/>
    <w:rsid w:val="00F45319"/>
    <w:rsid w:val="00F4798F"/>
    <w:rsid w:val="00F52B1B"/>
    <w:rsid w:val="00F60DF4"/>
    <w:rsid w:val="00F61675"/>
    <w:rsid w:val="00F6591A"/>
    <w:rsid w:val="00F80094"/>
    <w:rsid w:val="00F8064F"/>
    <w:rsid w:val="00F831CD"/>
    <w:rsid w:val="00F8364D"/>
    <w:rsid w:val="00F85B20"/>
    <w:rsid w:val="00F90D82"/>
    <w:rsid w:val="00F90E6C"/>
    <w:rsid w:val="00F97B2D"/>
    <w:rsid w:val="00F97D93"/>
    <w:rsid w:val="00FA17D4"/>
    <w:rsid w:val="00FA2D05"/>
    <w:rsid w:val="00FA3B40"/>
    <w:rsid w:val="00FB0524"/>
    <w:rsid w:val="00FB07E8"/>
    <w:rsid w:val="00FC0B36"/>
    <w:rsid w:val="00FD1D32"/>
    <w:rsid w:val="00FD1F19"/>
    <w:rsid w:val="00FD4DE0"/>
    <w:rsid w:val="00FD4EDD"/>
    <w:rsid w:val="00FD549F"/>
    <w:rsid w:val="00FD7374"/>
    <w:rsid w:val="00FE25AA"/>
    <w:rsid w:val="00FE2A3D"/>
    <w:rsid w:val="00FE7041"/>
    <w:rsid w:val="00FE70EF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8FE6C"/>
  <w14:defaultImageDpi w14:val="0"/>
  <w15:docId w15:val="{63D77DB2-FA3F-6441-ACBC-511C50F9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A"/>
      <w:u w:color="00000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u w:val="single" w:color="00000A"/>
    </w:rPr>
  </w:style>
  <w:style w:type="character" w:customStyle="1" w:styleId="None">
    <w:name w:val="None"/>
    <w:uiPriority w:val="99"/>
  </w:style>
  <w:style w:type="character" w:customStyle="1" w:styleId="Hyperlink0">
    <w:name w:val="Hyperlink.0"/>
    <w:basedOn w:val="None"/>
    <w:uiPriority w:val="99"/>
    <w:rPr>
      <w:color w:val="0432FF"/>
      <w:u w:val="single" w:color="00000A"/>
    </w:rPr>
  </w:style>
  <w:style w:type="character" w:customStyle="1" w:styleId="Hyperlink1">
    <w:name w:val="Hyperlink.1"/>
    <w:basedOn w:val="None"/>
    <w:uiPriority w:val="99"/>
    <w:rPr>
      <w:rFonts w:ascii="Times" w:hAnsi="Times" w:cs="Times"/>
      <w:color w:val="0432FF"/>
      <w:u w:val="single" w:color="00000A"/>
    </w:rPr>
  </w:style>
  <w:style w:type="character" w:customStyle="1" w:styleId="Hyperlink2">
    <w:name w:val="Hyperlink.2"/>
    <w:basedOn w:val="InternetLink"/>
    <w:uiPriority w:val="99"/>
    <w:rPr>
      <w:u w:val="single" w:color="00000A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Default">
    <w:name w:val="Default"/>
    <w:uiPriority w:val="99"/>
    <w:pPr>
      <w:pBdr>
        <w:left w:val="none" w:sz="0" w:space="1" w:color="auto"/>
        <w:right w:val="none" w:sz="0" w:space="1" w:color="auto"/>
      </w:pBdr>
      <w:shd w:val="clear" w:color="000000" w:fill="FFFFFF"/>
      <w:autoSpaceDE w:val="0"/>
      <w:autoSpaceDN w:val="0"/>
      <w:adjustRightInd w:val="0"/>
    </w:pPr>
    <w:rPr>
      <w:rFonts w:ascii="Helvetica Neue" w:hAnsi="Helvetica Neue" w:cs="Helvetica Neue"/>
      <w:sz w:val="22"/>
      <w:szCs w:val="22"/>
      <w:u w:color="00000A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A"/>
      <w:u w:color="00000A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A"/>
      <w:u w:color="00000A"/>
    </w:rPr>
  </w:style>
  <w:style w:type="numbering" w:customStyle="1" w:styleId="BulletList2">
    <w:name w:val="Bullet List 2"/>
    <w:pPr>
      <w:numPr>
        <w:numId w:val="4"/>
      </w:numPr>
    </w:pPr>
  </w:style>
  <w:style w:type="numbering" w:customStyle="1" w:styleId="BulletList5">
    <w:name w:val="Bullet List 5"/>
    <w:pPr>
      <w:numPr>
        <w:numId w:val="10"/>
      </w:numPr>
    </w:pPr>
  </w:style>
  <w:style w:type="numbering" w:customStyle="1" w:styleId="BulletList1">
    <w:name w:val="Bullet List 1"/>
    <w:pPr>
      <w:numPr>
        <w:numId w:val="1"/>
      </w:numPr>
    </w:pPr>
  </w:style>
  <w:style w:type="numbering" w:customStyle="1" w:styleId="BulletList3">
    <w:name w:val="Bullet List 3"/>
    <w:pPr>
      <w:numPr>
        <w:numId w:val="6"/>
      </w:numPr>
    </w:pPr>
  </w:style>
  <w:style w:type="numbering" w:customStyle="1" w:styleId="BulletList4">
    <w:name w:val="Bullet List 4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A2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557E"/>
  </w:style>
  <w:style w:type="paragraph" w:styleId="Bibliography">
    <w:name w:val="Bibliography"/>
    <w:basedOn w:val="Normal"/>
    <w:next w:val="Normal"/>
    <w:uiPriority w:val="37"/>
    <w:semiHidden/>
    <w:unhideWhenUsed/>
    <w:rsid w:val="00715968"/>
  </w:style>
  <w:style w:type="character" w:styleId="FollowedHyperlink">
    <w:name w:val="FollowedHyperlink"/>
    <w:basedOn w:val="DefaultParagraphFont"/>
    <w:uiPriority w:val="99"/>
    <w:semiHidden/>
    <w:unhideWhenUsed/>
    <w:rsid w:val="001761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PENBER@GMAIL.COM" TargetMode="External"/><Relationship Id="rId13" Type="http://schemas.openxmlformats.org/officeDocument/2006/relationships/hyperlink" Target="https://pubmed.ncbi.nlm.nih.gov/35155171/" TargetMode="External"/><Relationship Id="rId18" Type="http://schemas.openxmlformats.org/officeDocument/2006/relationships/hyperlink" Target="https://pubmed.ncbi.nlm.nih.gov/1875266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9/photob.2021.0048" TargetMode="External"/><Relationship Id="rId17" Type="http://schemas.openxmlformats.org/officeDocument/2006/relationships/hyperlink" Target="https://pubmed.ncbi.nlm.nih.gov/191495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1914960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penlas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19461950/" TargetMode="External"/><Relationship Id="rId10" Type="http://schemas.openxmlformats.org/officeDocument/2006/relationships/hyperlink" Target="https://www.hayesinc.com/hayes/publications/medical-technology-directory/" TargetMode="External"/><Relationship Id="rId19" Type="http://schemas.openxmlformats.org/officeDocument/2006/relationships/hyperlink" Target="https://pubmed.ncbi.nlm.nih.gov/174301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ESCRIBE.COM" TargetMode="External"/><Relationship Id="rId14" Type="http://schemas.openxmlformats.org/officeDocument/2006/relationships/hyperlink" Target="https://doi.org/10.1136/bmjopen-2020-04147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PEN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5AFD48B-551E-BD41-A433-09B274C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</dc:creator>
  <cp:keywords/>
  <dc:description/>
  <cp:lastModifiedBy>Todd Penberthy</cp:lastModifiedBy>
  <cp:revision>460</cp:revision>
  <cp:lastPrinted>2023-08-29T15:38:00Z</cp:lastPrinted>
  <dcterms:created xsi:type="dcterms:W3CDTF">2022-02-22T16:00:00Z</dcterms:created>
  <dcterms:modified xsi:type="dcterms:W3CDTF">2023-10-25T10:22:00Z</dcterms:modified>
</cp:coreProperties>
</file>